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CA9DF" w14:textId="792DEE62" w:rsidR="00AD2C48" w:rsidRPr="00105457" w:rsidRDefault="00AD2C48" w:rsidP="00E4041C">
      <w:pPr>
        <w:tabs>
          <w:tab w:val="left" w:pos="1140"/>
        </w:tabs>
        <w:spacing w:after="0" w:line="240" w:lineRule="auto"/>
        <w:rPr>
          <w:rFonts w:eastAsiaTheme="minorEastAsia" w:cs="Arial"/>
          <w:color w:val="2F5496" w:themeColor="accent5" w:themeShade="BF"/>
          <w:sz w:val="22"/>
          <w:lang w:eastAsia="en-GB"/>
        </w:rPr>
      </w:pPr>
      <w:bookmarkStart w:id="0" w:name="_GoBack"/>
      <w:bookmarkEnd w:id="0"/>
    </w:p>
    <w:tbl>
      <w:tblPr>
        <w:tblStyle w:val="TableGrid"/>
        <w:tblW w:w="5000" w:type="pct"/>
        <w:tblLook w:val="04A0" w:firstRow="1" w:lastRow="0" w:firstColumn="1" w:lastColumn="0" w:noHBand="0" w:noVBand="1"/>
      </w:tblPr>
      <w:tblGrid>
        <w:gridCol w:w="4655"/>
        <w:gridCol w:w="5002"/>
      </w:tblGrid>
      <w:tr w:rsidR="00AD2C48" w:rsidRPr="00AD2C48" w14:paraId="79D5540A" w14:textId="77777777" w:rsidTr="00304C93">
        <w:tc>
          <w:tcPr>
            <w:tcW w:w="2410" w:type="pct"/>
          </w:tcPr>
          <w:p w14:paraId="18ADAEA6" w14:textId="77777777" w:rsidR="00AD2C48" w:rsidRPr="00AD2C48" w:rsidRDefault="00AD2C48" w:rsidP="00AD2C48">
            <w:pPr>
              <w:tabs>
                <w:tab w:val="left" w:pos="1140"/>
              </w:tabs>
              <w:rPr>
                <w:rFonts w:ascii="Arial" w:eastAsiaTheme="minorEastAsia" w:hAnsi="Arial" w:cs="Arial"/>
                <w:b/>
                <w:sz w:val="22"/>
              </w:rPr>
            </w:pPr>
            <w:r w:rsidRPr="00AD2C48">
              <w:rPr>
                <w:rFonts w:ascii="Arial" w:eastAsiaTheme="minorEastAsia" w:hAnsi="Arial" w:cs="Arial"/>
                <w:b/>
                <w:sz w:val="22"/>
              </w:rPr>
              <w:t>Issue</w:t>
            </w:r>
          </w:p>
        </w:tc>
        <w:tc>
          <w:tcPr>
            <w:tcW w:w="2590" w:type="pct"/>
          </w:tcPr>
          <w:p w14:paraId="5A11D997" w14:textId="77777777" w:rsidR="00AD2C48" w:rsidRPr="00AD2C48" w:rsidRDefault="00AD2C48" w:rsidP="00AD2C48">
            <w:pPr>
              <w:tabs>
                <w:tab w:val="left" w:pos="1140"/>
              </w:tabs>
              <w:rPr>
                <w:rFonts w:ascii="Arial" w:eastAsiaTheme="minorEastAsia" w:hAnsi="Arial" w:cs="Arial"/>
                <w:b/>
                <w:sz w:val="22"/>
              </w:rPr>
            </w:pPr>
            <w:r w:rsidRPr="00AD2C48">
              <w:rPr>
                <w:rFonts w:ascii="Arial" w:eastAsiaTheme="minorEastAsia" w:hAnsi="Arial" w:cs="Arial"/>
                <w:b/>
                <w:sz w:val="22"/>
              </w:rPr>
              <w:t>Implication for external auditor report – current year</w:t>
            </w:r>
          </w:p>
        </w:tc>
      </w:tr>
      <w:tr w:rsidR="00AD2C48" w:rsidRPr="00AD2C48" w14:paraId="6A3BC86B" w14:textId="77777777" w:rsidTr="00304C93">
        <w:tc>
          <w:tcPr>
            <w:tcW w:w="2410" w:type="pct"/>
          </w:tcPr>
          <w:p w14:paraId="0805E9D7" w14:textId="39652FC8" w:rsidR="00AD2C48" w:rsidRPr="00AD2C48" w:rsidRDefault="00AD2C48" w:rsidP="00AD2C48">
            <w:pPr>
              <w:numPr>
                <w:ilvl w:val="0"/>
                <w:numId w:val="7"/>
              </w:numPr>
              <w:tabs>
                <w:tab w:val="left" w:pos="1140"/>
              </w:tabs>
              <w:rPr>
                <w:rFonts w:ascii="Arial" w:eastAsiaTheme="minorEastAsia" w:hAnsi="Arial" w:cs="Arial"/>
                <w:sz w:val="22"/>
              </w:rPr>
            </w:pPr>
            <w:r w:rsidRPr="00AD2C48">
              <w:rPr>
                <w:rFonts w:ascii="Arial" w:eastAsiaTheme="minorEastAsia" w:hAnsi="Arial" w:cs="Arial"/>
                <w:sz w:val="22"/>
              </w:rPr>
              <w:t>General confusion about year to which</w:t>
            </w:r>
            <w:r>
              <w:rPr>
                <w:rFonts w:ascii="Arial" w:eastAsiaTheme="minorEastAsia" w:hAnsi="Arial" w:cs="Arial"/>
                <w:sz w:val="22"/>
              </w:rPr>
              <w:t xml:space="preserve"> </w:t>
            </w:r>
            <w:r w:rsidRPr="00AD2C48">
              <w:rPr>
                <w:rFonts w:ascii="Arial" w:eastAsiaTheme="minorEastAsia" w:hAnsi="Arial" w:cs="Arial"/>
                <w:sz w:val="22"/>
              </w:rPr>
              <w:t xml:space="preserve">AGS Assertion 4 is referring.  </w:t>
            </w:r>
          </w:p>
          <w:p w14:paraId="65E8874A" w14:textId="77777777" w:rsidR="00AD2C48" w:rsidRPr="00AD2C48" w:rsidRDefault="00AD2C48" w:rsidP="00AD2C48">
            <w:pPr>
              <w:tabs>
                <w:tab w:val="left" w:pos="1140"/>
              </w:tabs>
              <w:rPr>
                <w:rFonts w:ascii="Arial" w:eastAsiaTheme="minorEastAsia" w:hAnsi="Arial" w:cs="Arial"/>
                <w:sz w:val="22"/>
              </w:rPr>
            </w:pPr>
            <w:r w:rsidRPr="00AD2C48">
              <w:rPr>
                <w:rFonts w:ascii="Arial" w:eastAsiaTheme="minorEastAsia" w:hAnsi="Arial" w:cs="Arial"/>
                <w:sz w:val="22"/>
              </w:rPr>
              <w:t xml:space="preserve">AGS Assertion 4 in 2019/20 AGAR requires a response in respect of the year from 1 April 2019 to 31 March 2020, hence the period provided for the exercise of public rights in respect of the prior year (2018-19) AGAR.  </w:t>
            </w:r>
          </w:p>
        </w:tc>
        <w:tc>
          <w:tcPr>
            <w:tcW w:w="2590" w:type="pct"/>
          </w:tcPr>
          <w:p w14:paraId="249B05D7" w14:textId="77777777" w:rsidR="00AD2C48" w:rsidRPr="00AD2C48" w:rsidRDefault="00AD2C48" w:rsidP="00AD2C48">
            <w:pPr>
              <w:tabs>
                <w:tab w:val="left" w:pos="1140"/>
              </w:tabs>
              <w:rPr>
                <w:rFonts w:ascii="Arial" w:eastAsiaTheme="minorEastAsia" w:hAnsi="Arial" w:cs="Arial"/>
                <w:sz w:val="22"/>
              </w:rPr>
            </w:pPr>
            <w:r w:rsidRPr="00AD2C48">
              <w:rPr>
                <w:rFonts w:ascii="Arial" w:eastAsiaTheme="minorEastAsia" w:hAnsi="Arial" w:cs="Arial"/>
                <w:sz w:val="22"/>
              </w:rPr>
              <w:t>See below.</w:t>
            </w:r>
          </w:p>
        </w:tc>
      </w:tr>
      <w:tr w:rsidR="00AD2C48" w:rsidRPr="00AD2C48" w14:paraId="49F2EDE8" w14:textId="77777777" w:rsidTr="00304C93">
        <w:tc>
          <w:tcPr>
            <w:tcW w:w="2410" w:type="pct"/>
          </w:tcPr>
          <w:p w14:paraId="12849D5F" w14:textId="77777777" w:rsidR="00AD2C48" w:rsidRPr="00AD2C48" w:rsidRDefault="00AD2C48" w:rsidP="00AD2C48">
            <w:pPr>
              <w:numPr>
                <w:ilvl w:val="0"/>
                <w:numId w:val="7"/>
              </w:numPr>
              <w:tabs>
                <w:tab w:val="left" w:pos="1140"/>
              </w:tabs>
              <w:rPr>
                <w:rFonts w:ascii="Arial" w:eastAsiaTheme="minorEastAsia" w:hAnsi="Arial" w:cs="Arial"/>
                <w:sz w:val="22"/>
              </w:rPr>
            </w:pPr>
            <w:r w:rsidRPr="00AD2C48">
              <w:rPr>
                <w:rFonts w:ascii="Arial" w:eastAsiaTheme="minorEastAsia" w:hAnsi="Arial" w:cs="Arial"/>
                <w:sz w:val="22"/>
              </w:rPr>
              <w:t>Public rights period does not comply with Regulation 15 of the Accounts and Audit Regulations 2015 as either:</w:t>
            </w:r>
          </w:p>
          <w:p w14:paraId="0495F997" w14:textId="77777777" w:rsidR="00AD2C48" w:rsidRPr="00AD2C48" w:rsidRDefault="00AD2C48" w:rsidP="00AD2C48">
            <w:pPr>
              <w:numPr>
                <w:ilvl w:val="1"/>
                <w:numId w:val="7"/>
              </w:numPr>
              <w:tabs>
                <w:tab w:val="left" w:pos="1140"/>
              </w:tabs>
              <w:rPr>
                <w:rFonts w:ascii="Arial" w:eastAsiaTheme="minorEastAsia" w:hAnsi="Arial" w:cs="Arial"/>
                <w:sz w:val="22"/>
              </w:rPr>
            </w:pPr>
            <w:r w:rsidRPr="00AD2C48">
              <w:rPr>
                <w:rFonts w:ascii="Arial" w:eastAsiaTheme="minorEastAsia" w:hAnsi="Arial" w:cs="Arial"/>
                <w:sz w:val="22"/>
              </w:rPr>
              <w:t>it is less than 30 working days in length;</w:t>
            </w:r>
          </w:p>
          <w:p w14:paraId="0894D28D" w14:textId="77777777" w:rsidR="00AD2C48" w:rsidRPr="00AD2C48" w:rsidRDefault="00AD2C48" w:rsidP="00AD2C48">
            <w:pPr>
              <w:numPr>
                <w:ilvl w:val="1"/>
                <w:numId w:val="7"/>
              </w:numPr>
              <w:tabs>
                <w:tab w:val="left" w:pos="1140"/>
              </w:tabs>
              <w:rPr>
                <w:rFonts w:ascii="Arial" w:eastAsiaTheme="minorEastAsia" w:hAnsi="Arial" w:cs="Arial"/>
                <w:sz w:val="22"/>
              </w:rPr>
            </w:pPr>
            <w:r w:rsidRPr="00AD2C48">
              <w:rPr>
                <w:rFonts w:ascii="Arial" w:eastAsiaTheme="minorEastAsia" w:hAnsi="Arial" w:cs="Arial"/>
                <w:sz w:val="22"/>
              </w:rPr>
              <w:t>it does not include the first 10 working days of July;</w:t>
            </w:r>
          </w:p>
          <w:p w14:paraId="505E23A5" w14:textId="77777777" w:rsidR="00AD2C48" w:rsidRPr="00AD2C48" w:rsidRDefault="00AD2C48" w:rsidP="00AD2C48">
            <w:pPr>
              <w:numPr>
                <w:ilvl w:val="1"/>
                <w:numId w:val="7"/>
              </w:numPr>
              <w:tabs>
                <w:tab w:val="left" w:pos="1140"/>
              </w:tabs>
              <w:rPr>
                <w:rFonts w:ascii="Arial" w:eastAsiaTheme="minorEastAsia" w:hAnsi="Arial" w:cs="Arial"/>
                <w:sz w:val="22"/>
              </w:rPr>
            </w:pPr>
            <w:r w:rsidRPr="00AD2C48">
              <w:rPr>
                <w:rFonts w:ascii="Arial" w:eastAsiaTheme="minorEastAsia" w:hAnsi="Arial" w:cs="Arial"/>
                <w:sz w:val="22"/>
              </w:rPr>
              <w:t>it starts before or on the day of approval of Section 2; or</w:t>
            </w:r>
          </w:p>
          <w:p w14:paraId="468A422A" w14:textId="77777777" w:rsidR="00AD2C48" w:rsidRPr="00AD2C48" w:rsidRDefault="00AD2C48" w:rsidP="00AD2C48">
            <w:pPr>
              <w:numPr>
                <w:ilvl w:val="1"/>
                <w:numId w:val="7"/>
              </w:numPr>
              <w:tabs>
                <w:tab w:val="left" w:pos="1140"/>
              </w:tabs>
              <w:rPr>
                <w:rFonts w:ascii="Arial" w:eastAsiaTheme="minorEastAsia" w:hAnsi="Arial" w:cs="Arial"/>
                <w:sz w:val="22"/>
              </w:rPr>
            </w:pPr>
            <w:r w:rsidRPr="00AD2C48">
              <w:rPr>
                <w:rFonts w:ascii="Arial" w:eastAsiaTheme="minorEastAsia" w:hAnsi="Arial" w:cs="Arial"/>
                <w:sz w:val="22"/>
              </w:rPr>
              <w:t xml:space="preserve">the Notice has not been published with the approved AGAR on a website before the start of the period (posting on noticeboards alone is not </w:t>
            </w:r>
            <w:proofErr w:type="gramStart"/>
            <w:r w:rsidRPr="00AD2C48">
              <w:rPr>
                <w:rFonts w:ascii="Arial" w:eastAsiaTheme="minorEastAsia" w:hAnsi="Arial" w:cs="Arial"/>
                <w:sz w:val="22"/>
              </w:rPr>
              <w:t>sufficient</w:t>
            </w:r>
            <w:proofErr w:type="gramEnd"/>
            <w:r w:rsidRPr="00AD2C48">
              <w:rPr>
                <w:rFonts w:ascii="Arial" w:eastAsiaTheme="minorEastAsia" w:hAnsi="Arial" w:cs="Arial"/>
                <w:sz w:val="22"/>
              </w:rPr>
              <w:t>).</w:t>
            </w:r>
          </w:p>
          <w:p w14:paraId="41191B33" w14:textId="77777777" w:rsidR="00AD2C48" w:rsidRPr="00AD2C48" w:rsidRDefault="00AD2C48" w:rsidP="00AD2C48">
            <w:pPr>
              <w:tabs>
                <w:tab w:val="left" w:pos="1140"/>
              </w:tabs>
              <w:rPr>
                <w:rFonts w:ascii="Arial" w:eastAsiaTheme="minorEastAsia" w:hAnsi="Arial" w:cs="Arial"/>
                <w:sz w:val="22"/>
              </w:rPr>
            </w:pPr>
            <w:r w:rsidRPr="00AD2C48">
              <w:rPr>
                <w:rFonts w:ascii="Arial" w:eastAsiaTheme="minorEastAsia" w:hAnsi="Arial" w:cs="Arial"/>
                <w:sz w:val="22"/>
              </w:rPr>
              <w:t>The rules are still widely misunderstood.</w:t>
            </w:r>
          </w:p>
          <w:p w14:paraId="7B355A7A" w14:textId="77777777" w:rsidR="00AD2C48" w:rsidRPr="00AD2C48" w:rsidRDefault="00AD2C48" w:rsidP="00AD2C48">
            <w:pPr>
              <w:tabs>
                <w:tab w:val="left" w:pos="1140"/>
              </w:tabs>
              <w:rPr>
                <w:rFonts w:ascii="Arial" w:eastAsiaTheme="minorEastAsia" w:hAnsi="Arial" w:cs="Arial"/>
                <w:sz w:val="22"/>
              </w:rPr>
            </w:pPr>
            <w:r w:rsidRPr="00AD2C48">
              <w:rPr>
                <w:rFonts w:ascii="Arial" w:eastAsiaTheme="minorEastAsia" w:hAnsi="Arial" w:cs="Arial"/>
                <w:sz w:val="22"/>
              </w:rPr>
              <w:t>These errors apply not only to those subject to review but also to those certifying themselves as exempt.</w:t>
            </w:r>
          </w:p>
        </w:tc>
        <w:tc>
          <w:tcPr>
            <w:tcW w:w="2590" w:type="pct"/>
          </w:tcPr>
          <w:p w14:paraId="48DCEA30" w14:textId="77777777" w:rsidR="00AD2C48" w:rsidRPr="00AD2C48" w:rsidRDefault="00AD2C48" w:rsidP="00AD2C48">
            <w:pPr>
              <w:tabs>
                <w:tab w:val="left" w:pos="1140"/>
              </w:tabs>
              <w:rPr>
                <w:rFonts w:ascii="Arial" w:eastAsiaTheme="minorEastAsia" w:hAnsi="Arial" w:cs="Arial"/>
                <w:sz w:val="22"/>
              </w:rPr>
            </w:pPr>
            <w:r w:rsidRPr="00AD2C48">
              <w:rPr>
                <w:rFonts w:ascii="Arial" w:eastAsiaTheme="minorEastAsia" w:hAnsi="Arial" w:cs="Arial"/>
                <w:sz w:val="22"/>
              </w:rPr>
              <w:t>‘Other matter’ raised for those authorities subject to review instructing them to respond ‘no’ to Assertion 4 in the AGS for the following year.</w:t>
            </w:r>
          </w:p>
          <w:p w14:paraId="5E11149E" w14:textId="77777777" w:rsidR="00AD2C48" w:rsidRPr="00AD2C48" w:rsidRDefault="00AD2C48" w:rsidP="00AD2C48">
            <w:pPr>
              <w:tabs>
                <w:tab w:val="left" w:pos="1140"/>
              </w:tabs>
              <w:rPr>
                <w:rFonts w:ascii="Arial" w:eastAsiaTheme="minorEastAsia" w:hAnsi="Arial" w:cs="Arial"/>
                <w:sz w:val="22"/>
              </w:rPr>
            </w:pPr>
          </w:p>
          <w:p w14:paraId="5050E1CA" w14:textId="77777777" w:rsidR="00AD2C48" w:rsidRPr="00AD2C48" w:rsidRDefault="00AD2C48" w:rsidP="00AD2C48">
            <w:pPr>
              <w:tabs>
                <w:tab w:val="left" w:pos="1140"/>
              </w:tabs>
              <w:rPr>
                <w:rFonts w:ascii="Arial" w:eastAsiaTheme="minorEastAsia" w:hAnsi="Arial" w:cs="Arial"/>
                <w:sz w:val="22"/>
              </w:rPr>
            </w:pPr>
            <w:r w:rsidRPr="00AD2C48">
              <w:rPr>
                <w:rFonts w:ascii="Arial" w:eastAsiaTheme="minorEastAsia" w:hAnsi="Arial" w:cs="Arial"/>
                <w:sz w:val="22"/>
              </w:rPr>
              <w:t>No reporting consequences for those certifying themselves as exempt as auditor does not issue a report.</w:t>
            </w:r>
          </w:p>
        </w:tc>
      </w:tr>
      <w:tr w:rsidR="00AD2C48" w:rsidRPr="00AD2C48" w14:paraId="3D4D0091" w14:textId="77777777" w:rsidTr="00304C93">
        <w:tc>
          <w:tcPr>
            <w:tcW w:w="2410" w:type="pct"/>
          </w:tcPr>
          <w:p w14:paraId="4F017030" w14:textId="77777777" w:rsidR="00AD2C48" w:rsidRDefault="00AD2C48" w:rsidP="00AD2C48">
            <w:pPr>
              <w:numPr>
                <w:ilvl w:val="0"/>
                <w:numId w:val="7"/>
              </w:numPr>
              <w:tabs>
                <w:tab w:val="left" w:pos="1140"/>
              </w:tabs>
              <w:rPr>
                <w:rFonts w:ascii="Arial" w:eastAsiaTheme="minorEastAsia" w:hAnsi="Arial" w:cs="Arial"/>
                <w:sz w:val="22"/>
              </w:rPr>
            </w:pPr>
            <w:r w:rsidRPr="00AD2C48">
              <w:rPr>
                <w:rFonts w:ascii="Arial" w:eastAsiaTheme="minorEastAsia" w:hAnsi="Arial" w:cs="Arial"/>
                <w:sz w:val="22"/>
              </w:rPr>
              <w:t>Failure to publish approved AGAR and explanatory notes on a website</w:t>
            </w:r>
            <w:r>
              <w:rPr>
                <w:rFonts w:ascii="Arial" w:eastAsiaTheme="minorEastAsia" w:hAnsi="Arial" w:cs="Arial"/>
                <w:sz w:val="22"/>
              </w:rPr>
              <w:t>,</w:t>
            </w:r>
          </w:p>
          <w:p w14:paraId="079DA9DD" w14:textId="0539B0A4" w:rsidR="00AD2C48" w:rsidRPr="00AD2C48" w:rsidRDefault="00AD2C48" w:rsidP="00AD2C48">
            <w:pPr>
              <w:tabs>
                <w:tab w:val="left" w:pos="1140"/>
              </w:tabs>
              <w:ind w:left="360"/>
              <w:rPr>
                <w:rFonts w:ascii="Arial" w:eastAsiaTheme="minorEastAsia" w:hAnsi="Arial" w:cs="Arial"/>
                <w:sz w:val="22"/>
              </w:rPr>
            </w:pPr>
            <w:r w:rsidRPr="00AD2C48">
              <w:rPr>
                <w:rFonts w:ascii="Arial" w:eastAsiaTheme="minorEastAsia" w:hAnsi="Arial" w:cs="Arial"/>
                <w:sz w:val="22"/>
              </w:rPr>
              <w:t>as well as the Notice at least the day before the PR period starts.</w:t>
            </w:r>
          </w:p>
        </w:tc>
        <w:tc>
          <w:tcPr>
            <w:tcW w:w="2590" w:type="pct"/>
          </w:tcPr>
          <w:p w14:paraId="468A28D3" w14:textId="77777777" w:rsidR="00AD2C48" w:rsidRPr="00AD2C48" w:rsidRDefault="00AD2C48" w:rsidP="00AD2C48">
            <w:pPr>
              <w:tabs>
                <w:tab w:val="left" w:pos="1140"/>
              </w:tabs>
              <w:rPr>
                <w:rFonts w:ascii="Arial" w:eastAsiaTheme="minorEastAsia" w:hAnsi="Arial" w:cs="Arial"/>
                <w:sz w:val="22"/>
              </w:rPr>
            </w:pPr>
            <w:r w:rsidRPr="00AD2C48">
              <w:rPr>
                <w:rFonts w:ascii="Arial" w:eastAsiaTheme="minorEastAsia" w:hAnsi="Arial" w:cs="Arial"/>
                <w:sz w:val="22"/>
              </w:rPr>
              <w:t>‘Other matter’ raised instructing the authority to respond ‘no’ to Assertion 4 in the AGS for the following year.</w:t>
            </w:r>
          </w:p>
        </w:tc>
      </w:tr>
      <w:tr w:rsidR="00AD2C48" w:rsidRPr="00AD2C48" w14:paraId="0436FE45" w14:textId="77777777" w:rsidTr="00304C93">
        <w:tc>
          <w:tcPr>
            <w:tcW w:w="2410" w:type="pct"/>
          </w:tcPr>
          <w:p w14:paraId="01564626" w14:textId="77777777" w:rsidR="00AD2C48" w:rsidRDefault="00AD2C48" w:rsidP="00AD2C48">
            <w:pPr>
              <w:numPr>
                <w:ilvl w:val="0"/>
                <w:numId w:val="7"/>
              </w:numPr>
              <w:tabs>
                <w:tab w:val="left" w:pos="1140"/>
              </w:tabs>
              <w:rPr>
                <w:rFonts w:ascii="Arial" w:eastAsiaTheme="minorEastAsia" w:hAnsi="Arial" w:cs="Arial"/>
                <w:sz w:val="22"/>
              </w:rPr>
            </w:pPr>
            <w:r w:rsidRPr="00AD2C48">
              <w:rPr>
                <w:rFonts w:ascii="Arial" w:eastAsiaTheme="minorEastAsia" w:hAnsi="Arial" w:cs="Arial"/>
                <w:sz w:val="22"/>
              </w:rPr>
              <w:t>AGS Assertion 4 response is ‘yes’,</w:t>
            </w:r>
          </w:p>
          <w:p w14:paraId="4E1B9351" w14:textId="65CDDF31" w:rsidR="00AD2C48" w:rsidRPr="00AD2C48" w:rsidRDefault="00AD2C48" w:rsidP="00AD2C48">
            <w:pPr>
              <w:tabs>
                <w:tab w:val="left" w:pos="1140"/>
              </w:tabs>
              <w:ind w:left="360"/>
              <w:rPr>
                <w:rFonts w:ascii="Arial" w:eastAsiaTheme="minorEastAsia" w:hAnsi="Arial" w:cs="Arial"/>
                <w:sz w:val="22"/>
              </w:rPr>
            </w:pPr>
            <w:r w:rsidRPr="00AD2C48">
              <w:rPr>
                <w:rFonts w:ascii="Arial" w:eastAsiaTheme="minorEastAsia" w:hAnsi="Arial" w:cs="Arial"/>
                <w:sz w:val="22"/>
              </w:rPr>
              <w:t>but prior year external auditor report included other matter instructing authority to respond ‘no’ as previous year period for the exercise of public rights did not comply with Regulation 15, Accounts and Audit Regulations 2015.</w:t>
            </w:r>
          </w:p>
        </w:tc>
        <w:tc>
          <w:tcPr>
            <w:tcW w:w="2590" w:type="pct"/>
          </w:tcPr>
          <w:p w14:paraId="12EF5FB2" w14:textId="77777777" w:rsidR="00AD2C48" w:rsidRPr="00AD2C48" w:rsidRDefault="00AD2C48" w:rsidP="00AD2C48">
            <w:pPr>
              <w:tabs>
                <w:tab w:val="left" w:pos="1140"/>
              </w:tabs>
              <w:rPr>
                <w:rFonts w:ascii="Arial" w:eastAsiaTheme="minorEastAsia" w:hAnsi="Arial" w:cs="Arial"/>
                <w:sz w:val="22"/>
              </w:rPr>
            </w:pPr>
            <w:r w:rsidRPr="00AD2C48">
              <w:rPr>
                <w:rFonts w:ascii="Arial" w:eastAsiaTheme="minorEastAsia" w:hAnsi="Arial" w:cs="Arial"/>
                <w:sz w:val="22"/>
              </w:rPr>
              <w:t>‘Except for’ (qualification) raised in respect of Assertions 4 and 7.</w:t>
            </w:r>
          </w:p>
        </w:tc>
      </w:tr>
      <w:tr w:rsidR="00AD2C48" w:rsidRPr="00AD2C48" w14:paraId="7A0D4976" w14:textId="77777777" w:rsidTr="00304C93">
        <w:tc>
          <w:tcPr>
            <w:tcW w:w="2410" w:type="pct"/>
          </w:tcPr>
          <w:p w14:paraId="4CC53EEF" w14:textId="77777777" w:rsidR="00AD2C48" w:rsidRPr="00AD2C48" w:rsidRDefault="00AD2C48" w:rsidP="00AD2C48">
            <w:pPr>
              <w:numPr>
                <w:ilvl w:val="0"/>
                <w:numId w:val="7"/>
              </w:numPr>
              <w:tabs>
                <w:tab w:val="left" w:pos="1140"/>
              </w:tabs>
              <w:rPr>
                <w:rFonts w:ascii="Arial" w:eastAsiaTheme="minorEastAsia" w:hAnsi="Arial" w:cs="Arial"/>
                <w:sz w:val="22"/>
              </w:rPr>
            </w:pPr>
            <w:r w:rsidRPr="00AD2C48">
              <w:rPr>
                <w:rFonts w:ascii="Arial" w:eastAsiaTheme="minorEastAsia" w:hAnsi="Arial" w:cs="Arial"/>
                <w:sz w:val="22"/>
              </w:rPr>
              <w:t>Failure to notify the external auditor of the period for the exercise of public rights.</w:t>
            </w:r>
          </w:p>
        </w:tc>
        <w:tc>
          <w:tcPr>
            <w:tcW w:w="2590" w:type="pct"/>
          </w:tcPr>
          <w:p w14:paraId="460C348F" w14:textId="38B7E30A" w:rsidR="00AD2C48" w:rsidRPr="00AD2C48" w:rsidRDefault="00AD2C48" w:rsidP="00AD2C48">
            <w:pPr>
              <w:tabs>
                <w:tab w:val="left" w:pos="1140"/>
              </w:tabs>
              <w:rPr>
                <w:rFonts w:ascii="Arial" w:eastAsiaTheme="minorEastAsia" w:hAnsi="Arial" w:cs="Arial"/>
                <w:sz w:val="22"/>
              </w:rPr>
            </w:pPr>
            <w:r w:rsidRPr="00AD2C48">
              <w:rPr>
                <w:rFonts w:ascii="Arial" w:eastAsiaTheme="minorEastAsia" w:hAnsi="Arial" w:cs="Arial"/>
                <w:sz w:val="22"/>
              </w:rPr>
              <w:t>Auditor cannot certify completion until after period for the exercise of public rights has expired</w:t>
            </w:r>
            <w:r>
              <w:rPr>
                <w:rFonts w:ascii="Arial" w:eastAsiaTheme="minorEastAsia" w:hAnsi="Arial" w:cs="Arial"/>
                <w:sz w:val="22"/>
              </w:rPr>
              <w:t>.</w:t>
            </w:r>
          </w:p>
          <w:p w14:paraId="5D4934B4" w14:textId="77777777" w:rsidR="00AD2C48" w:rsidRPr="00AD2C48" w:rsidRDefault="00AD2C48" w:rsidP="00AD2C48">
            <w:pPr>
              <w:tabs>
                <w:tab w:val="left" w:pos="1140"/>
              </w:tabs>
              <w:rPr>
                <w:rFonts w:ascii="Arial" w:eastAsiaTheme="minorEastAsia" w:hAnsi="Arial" w:cs="Arial"/>
                <w:sz w:val="22"/>
              </w:rPr>
            </w:pPr>
          </w:p>
          <w:p w14:paraId="5C77C6AA" w14:textId="77777777" w:rsidR="00AD2C48" w:rsidRPr="00AD2C48" w:rsidRDefault="00AD2C48" w:rsidP="00AD2C48">
            <w:pPr>
              <w:tabs>
                <w:tab w:val="left" w:pos="1140"/>
              </w:tabs>
              <w:rPr>
                <w:rFonts w:ascii="Arial" w:eastAsiaTheme="minorEastAsia" w:hAnsi="Arial" w:cs="Arial"/>
                <w:sz w:val="22"/>
              </w:rPr>
            </w:pPr>
            <w:r w:rsidRPr="00AD2C48">
              <w:rPr>
                <w:rFonts w:ascii="Arial" w:eastAsiaTheme="minorEastAsia" w:hAnsi="Arial" w:cs="Arial"/>
                <w:sz w:val="22"/>
              </w:rPr>
              <w:t>A Public Interest Report will eventually be issued if no dates are notified.</w:t>
            </w:r>
          </w:p>
        </w:tc>
      </w:tr>
      <w:tr w:rsidR="00AD2C48" w:rsidRPr="00AD2C48" w14:paraId="5A39CD28" w14:textId="77777777" w:rsidTr="00304C93">
        <w:tc>
          <w:tcPr>
            <w:tcW w:w="2410" w:type="pct"/>
          </w:tcPr>
          <w:p w14:paraId="6AC82EAC" w14:textId="77777777" w:rsidR="00AD2C48" w:rsidRPr="00AD2C48" w:rsidRDefault="00AD2C48" w:rsidP="00AD2C48">
            <w:pPr>
              <w:numPr>
                <w:ilvl w:val="0"/>
                <w:numId w:val="7"/>
              </w:numPr>
              <w:tabs>
                <w:tab w:val="left" w:pos="1140"/>
              </w:tabs>
              <w:rPr>
                <w:rFonts w:ascii="Arial" w:eastAsiaTheme="minorEastAsia" w:hAnsi="Arial" w:cs="Arial"/>
                <w:sz w:val="22"/>
              </w:rPr>
            </w:pPr>
            <w:r w:rsidRPr="00AD2C48">
              <w:rPr>
                <w:rFonts w:ascii="Arial" w:eastAsiaTheme="minorEastAsia" w:hAnsi="Arial" w:cs="Arial"/>
                <w:sz w:val="22"/>
              </w:rPr>
              <w:t>Use of the wrong template Notice</w:t>
            </w:r>
          </w:p>
          <w:p w14:paraId="1CB3719A" w14:textId="69562599" w:rsidR="00AD2C48" w:rsidRPr="00AD2C48" w:rsidRDefault="00AD2C48" w:rsidP="00AD2C48">
            <w:pPr>
              <w:numPr>
                <w:ilvl w:val="1"/>
                <w:numId w:val="7"/>
              </w:numPr>
              <w:tabs>
                <w:tab w:val="left" w:pos="1140"/>
              </w:tabs>
              <w:rPr>
                <w:rFonts w:ascii="Arial" w:eastAsiaTheme="minorEastAsia" w:hAnsi="Arial" w:cs="Arial"/>
                <w:sz w:val="22"/>
              </w:rPr>
            </w:pPr>
            <w:r w:rsidRPr="00AD2C48">
              <w:rPr>
                <w:rFonts w:ascii="Arial" w:eastAsiaTheme="minorEastAsia" w:hAnsi="Arial" w:cs="Arial"/>
                <w:sz w:val="22"/>
              </w:rPr>
              <w:t>use of Notice for exempt authorities by non-exempt authorities; or</w:t>
            </w:r>
          </w:p>
          <w:p w14:paraId="2B19D0D3" w14:textId="1F47ADB6" w:rsidR="00AD2C48" w:rsidRPr="00AD2C48" w:rsidRDefault="00AD2C48" w:rsidP="00AD2C48">
            <w:pPr>
              <w:numPr>
                <w:ilvl w:val="1"/>
                <w:numId w:val="7"/>
              </w:numPr>
              <w:tabs>
                <w:tab w:val="left" w:pos="1140"/>
              </w:tabs>
              <w:rPr>
                <w:rFonts w:ascii="Arial" w:eastAsiaTheme="minorEastAsia" w:hAnsi="Arial" w:cs="Arial"/>
                <w:sz w:val="22"/>
              </w:rPr>
            </w:pPr>
            <w:r w:rsidRPr="00AD2C48">
              <w:rPr>
                <w:rFonts w:ascii="Arial" w:eastAsiaTheme="minorEastAsia" w:hAnsi="Arial" w:cs="Arial"/>
                <w:sz w:val="22"/>
              </w:rPr>
              <w:t>use of Notice for authorities subject to review by exempt authorities.</w:t>
            </w:r>
          </w:p>
        </w:tc>
        <w:tc>
          <w:tcPr>
            <w:tcW w:w="2590" w:type="pct"/>
          </w:tcPr>
          <w:p w14:paraId="186D0B1E" w14:textId="1BDFF104" w:rsidR="00AD2C48" w:rsidRPr="00AD2C48" w:rsidRDefault="00AD2C48" w:rsidP="00AD2C48">
            <w:pPr>
              <w:tabs>
                <w:tab w:val="left" w:pos="1140"/>
              </w:tabs>
              <w:rPr>
                <w:rFonts w:ascii="Arial" w:eastAsiaTheme="minorEastAsia" w:hAnsi="Arial" w:cs="Arial"/>
                <w:sz w:val="22"/>
              </w:rPr>
            </w:pPr>
            <w:r w:rsidRPr="00AD2C48">
              <w:rPr>
                <w:rFonts w:ascii="Arial" w:eastAsiaTheme="minorEastAsia" w:hAnsi="Arial" w:cs="Arial"/>
                <w:sz w:val="22"/>
              </w:rPr>
              <w:t>‘Other matter’ raised for authorities subject to review</w:t>
            </w:r>
            <w:r>
              <w:rPr>
                <w:rFonts w:ascii="Arial" w:eastAsiaTheme="minorEastAsia" w:hAnsi="Arial" w:cs="Arial"/>
                <w:sz w:val="22"/>
              </w:rPr>
              <w:t>,</w:t>
            </w:r>
            <w:r w:rsidRPr="00AD2C48">
              <w:rPr>
                <w:rFonts w:ascii="Arial" w:eastAsiaTheme="minorEastAsia" w:hAnsi="Arial" w:cs="Arial"/>
                <w:sz w:val="22"/>
              </w:rPr>
              <w:t xml:space="preserve"> instructing the authority to respond ‘no’ to Assertion 4 in the AGS for the following year.</w:t>
            </w:r>
          </w:p>
          <w:p w14:paraId="2A5036EC" w14:textId="77777777" w:rsidR="00AD2C48" w:rsidRPr="00AD2C48" w:rsidRDefault="00AD2C48" w:rsidP="00AD2C48">
            <w:pPr>
              <w:tabs>
                <w:tab w:val="left" w:pos="1140"/>
              </w:tabs>
              <w:rPr>
                <w:rFonts w:ascii="Arial" w:eastAsiaTheme="minorEastAsia" w:hAnsi="Arial" w:cs="Arial"/>
                <w:sz w:val="22"/>
              </w:rPr>
            </w:pPr>
          </w:p>
          <w:p w14:paraId="6257B7FA" w14:textId="77777777" w:rsidR="00AD2C48" w:rsidRPr="00AD2C48" w:rsidRDefault="00AD2C48" w:rsidP="00AD2C48">
            <w:pPr>
              <w:tabs>
                <w:tab w:val="left" w:pos="1140"/>
              </w:tabs>
              <w:rPr>
                <w:rFonts w:ascii="Arial" w:eastAsiaTheme="minorEastAsia" w:hAnsi="Arial" w:cs="Arial"/>
                <w:sz w:val="22"/>
              </w:rPr>
            </w:pPr>
            <w:r w:rsidRPr="00AD2C48">
              <w:rPr>
                <w:rFonts w:ascii="Arial" w:eastAsiaTheme="minorEastAsia" w:hAnsi="Arial" w:cs="Arial"/>
                <w:sz w:val="22"/>
              </w:rPr>
              <w:t>No reporting consequences for those certifying as exempt as no report issued.</w:t>
            </w:r>
          </w:p>
        </w:tc>
      </w:tr>
    </w:tbl>
    <w:p w14:paraId="05E487E8" w14:textId="3318D128" w:rsidR="00105457" w:rsidRPr="00105457" w:rsidRDefault="00105457" w:rsidP="00AD2C48">
      <w:pPr>
        <w:tabs>
          <w:tab w:val="left" w:pos="1140"/>
        </w:tabs>
        <w:spacing w:after="0" w:line="240" w:lineRule="auto"/>
        <w:rPr>
          <w:rFonts w:eastAsiaTheme="minorEastAsia" w:cs="Arial"/>
          <w:color w:val="2F5496" w:themeColor="accent5" w:themeShade="BF"/>
          <w:sz w:val="22"/>
          <w:lang w:eastAsia="en-GB"/>
        </w:rPr>
      </w:pPr>
    </w:p>
    <w:sectPr w:rsidR="00105457" w:rsidRPr="00105457" w:rsidSect="002744DE">
      <w:headerReference w:type="default" r:id="rId7"/>
      <w:footerReference w:type="default" r:id="rId8"/>
      <w:pgSz w:w="11906" w:h="16838" w:code="9"/>
      <w:pgMar w:top="1440" w:right="992"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F2699" w14:textId="77777777" w:rsidR="002B3731" w:rsidRDefault="002B3731" w:rsidP="003F0810">
      <w:pPr>
        <w:spacing w:after="0" w:line="240" w:lineRule="auto"/>
      </w:pPr>
      <w:r>
        <w:separator/>
      </w:r>
    </w:p>
  </w:endnote>
  <w:endnote w:type="continuationSeparator" w:id="0">
    <w:p w14:paraId="46A90D1A" w14:textId="77777777" w:rsidR="002B3731" w:rsidRDefault="002B3731" w:rsidP="003F0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D8DAA" w14:textId="77777777" w:rsidR="00724E99" w:rsidRPr="00724E99" w:rsidRDefault="00724E99" w:rsidP="00724E99">
    <w:pPr>
      <w:pStyle w:val="Footer"/>
      <w:jc w:val="center"/>
      <w:rPr>
        <w:rFonts w:cs="Arial"/>
        <w:color w:val="1F3864" w:themeColor="accent5" w:themeShade="80"/>
        <w:sz w:val="18"/>
        <w:szCs w:val="18"/>
      </w:rPr>
    </w:pPr>
    <w:r>
      <w:rPr>
        <w:noProof/>
        <w:lang w:eastAsia="en-GB"/>
      </w:rPr>
      <mc:AlternateContent>
        <mc:Choice Requires="wps">
          <w:drawing>
            <wp:anchor distT="4294967295" distB="4294967295" distL="114300" distR="114300" simplePos="0" relativeHeight="251658240" behindDoc="0" locked="0" layoutInCell="1" allowOverlap="1" wp14:anchorId="631DF988" wp14:editId="0FFACB00">
              <wp:simplePos x="0" y="0"/>
              <wp:positionH relativeFrom="margin">
                <wp:posOffset>42545</wp:posOffset>
              </wp:positionH>
              <wp:positionV relativeFrom="paragraph">
                <wp:posOffset>-82677</wp:posOffset>
              </wp:positionV>
              <wp:extent cx="6058800" cy="0"/>
              <wp:effectExtent l="0" t="0" r="37465" b="1905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8800" cy="0"/>
                      </a:xfrm>
                      <a:prstGeom prst="line">
                        <a:avLst/>
                      </a:prstGeom>
                      <a:noFill/>
                      <a:ln w="6350" cap="flat" cmpd="sng" algn="ctr">
                        <a:solidFill>
                          <a:srgbClr val="0A296E"/>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A46160E" id="Straight Connector 2" o:spid="_x0000_s1026" style="position:absolute;z-index:2516628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3.35pt,-6.5pt" to="480.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" strokecolor="#0a296e" strokeweight=".5pt">
              <o:lock v:ext="edit" shapetype="f"/>
              <w10:wrap anchorx="margin"/>
            </v:line>
          </w:pict>
        </mc:Fallback>
      </mc:AlternateContent>
    </w:r>
    <w:r w:rsidRPr="00F21CB6">
      <w:rPr>
        <w:rFonts w:cs="Arial"/>
        <w:color w:val="1F3864" w:themeColor="accent5" w:themeShade="80"/>
        <w:sz w:val="18"/>
        <w:szCs w:val="18"/>
      </w:rPr>
      <w:t>SAAA Ltd, Fourth Floor, 77 Mansell Street, London E1 8</w:t>
    </w:r>
    <w:proofErr w:type="gramStart"/>
    <w:r w:rsidRPr="00F21CB6">
      <w:rPr>
        <w:rFonts w:cs="Arial"/>
        <w:color w:val="1F3864" w:themeColor="accent5" w:themeShade="80"/>
        <w:sz w:val="18"/>
        <w:szCs w:val="18"/>
      </w:rPr>
      <w:t xml:space="preserve">AN </w:t>
    </w:r>
    <w:r>
      <w:rPr>
        <w:rFonts w:cs="Arial"/>
        <w:color w:val="1F3864" w:themeColor="accent5" w:themeShade="80"/>
        <w:sz w:val="18"/>
        <w:szCs w:val="18"/>
      </w:rPr>
      <w:t xml:space="preserve"> </w:t>
    </w:r>
    <w:r w:rsidRPr="00F21CB6">
      <w:rPr>
        <w:rFonts w:eastAsia="MS Mincho" w:cs="Arial"/>
        <w:color w:val="1F3864" w:themeColor="accent5" w:themeShade="80"/>
        <w:sz w:val="18"/>
        <w:szCs w:val="18"/>
        <w:lang w:eastAsia="en-GB"/>
      </w:rPr>
      <w:t>•</w:t>
    </w:r>
    <w:proofErr w:type="gramEnd"/>
    <w:r w:rsidRPr="00F21CB6">
      <w:rPr>
        <w:rFonts w:cs="Arial"/>
        <w:color w:val="1F3864" w:themeColor="accent5" w:themeShade="80"/>
        <w:sz w:val="18"/>
        <w:szCs w:val="18"/>
      </w:rPr>
      <w:t xml:space="preserve"> </w:t>
    </w:r>
    <w:r>
      <w:rPr>
        <w:rFonts w:cs="Arial"/>
        <w:color w:val="1F3864" w:themeColor="accent5" w:themeShade="80"/>
        <w:sz w:val="18"/>
        <w:szCs w:val="18"/>
      </w:rPr>
      <w:t xml:space="preserve"> </w:t>
    </w:r>
    <w:r w:rsidRPr="00F21CB6">
      <w:rPr>
        <w:rFonts w:cs="Arial"/>
        <w:color w:val="1F3864" w:themeColor="accent5" w:themeShade="80"/>
        <w:sz w:val="18"/>
        <w:szCs w:val="18"/>
      </w:rPr>
      <w:t>www.localaudits.co.uk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F0790" w14:textId="77777777" w:rsidR="002B3731" w:rsidRDefault="002B3731" w:rsidP="003F0810">
      <w:pPr>
        <w:spacing w:after="0" w:line="240" w:lineRule="auto"/>
      </w:pPr>
      <w:r>
        <w:separator/>
      </w:r>
    </w:p>
  </w:footnote>
  <w:footnote w:type="continuationSeparator" w:id="0">
    <w:p w14:paraId="4703BD4E" w14:textId="77777777" w:rsidR="002B3731" w:rsidRDefault="002B3731" w:rsidP="003F0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90870" w14:textId="77777777" w:rsidR="002C09C2" w:rsidRDefault="002744DE" w:rsidP="002744DE">
    <w:pPr>
      <w:pStyle w:val="Body"/>
      <w:tabs>
        <w:tab w:val="right" w:pos="10766"/>
      </w:tabs>
      <w:spacing w:after="0" w:line="280" w:lineRule="exact"/>
      <w:rPr>
        <w:noProof/>
      </w:rPr>
    </w:pPr>
    <w:r>
      <w:rPr>
        <w:rFonts w:cs="Arial"/>
        <w:b/>
        <w:bCs/>
        <w:noProof/>
        <w:color w:val="003399"/>
        <w:sz w:val="26"/>
        <w:szCs w:val="26"/>
        <w:lang w:val="en-GB"/>
      </w:rPr>
      <w:drawing>
        <wp:anchor distT="0" distB="0" distL="114300" distR="114300" simplePos="0" relativeHeight="251657216" behindDoc="0" locked="0" layoutInCell="1" allowOverlap="1" wp14:anchorId="25389AB8" wp14:editId="07945193">
          <wp:simplePos x="0" y="0"/>
          <wp:positionH relativeFrom="column">
            <wp:posOffset>4999355</wp:posOffset>
          </wp:positionH>
          <wp:positionV relativeFrom="topMargin">
            <wp:posOffset>352298</wp:posOffset>
          </wp:positionV>
          <wp:extent cx="1098000" cy="619200"/>
          <wp:effectExtent l="0" t="0" r="698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AA007.png"/>
                  <pic:cNvPicPr/>
                </pic:nvPicPr>
                <pic:blipFill>
                  <a:blip r:embed="rId1">
                    <a:extLst>
                      <a:ext uri="{28A0092B-C50C-407E-A947-70E740481C1C}">
                        <a14:useLocalDpi xmlns:a14="http://schemas.microsoft.com/office/drawing/2010/main" val="0"/>
                      </a:ext>
                    </a:extLst>
                  </a:blip>
                  <a:stretch>
                    <a:fillRect/>
                  </a:stretch>
                </pic:blipFill>
                <pic:spPr>
                  <a:xfrm>
                    <a:off x="0" y="0"/>
                    <a:ext cx="1098000" cy="619200"/>
                  </a:xfrm>
                  <a:prstGeom prst="rect">
                    <a:avLst/>
                  </a:prstGeom>
                </pic:spPr>
              </pic:pic>
            </a:graphicData>
          </a:graphic>
          <wp14:sizeRelH relativeFrom="margin">
            <wp14:pctWidth>0</wp14:pctWidth>
          </wp14:sizeRelH>
          <wp14:sizeRelV relativeFrom="margin">
            <wp14:pctHeight>0</wp14:pctHeight>
          </wp14:sizeRelV>
        </wp:anchor>
      </w:drawing>
    </w:r>
  </w:p>
  <w:p w14:paraId="5AE40AF7" w14:textId="523C07CE" w:rsidR="00F0308F" w:rsidRPr="000373E2" w:rsidRDefault="00AD2C48" w:rsidP="002C09C2">
    <w:pPr>
      <w:pStyle w:val="Body"/>
      <w:tabs>
        <w:tab w:val="right" w:pos="10766"/>
      </w:tabs>
      <w:spacing w:after="0" w:line="280" w:lineRule="exact"/>
      <w:rPr>
        <w:b/>
        <w:bCs/>
        <w:noProof/>
        <w:color w:val="002060"/>
      </w:rPr>
    </w:pPr>
    <w:r>
      <w:rPr>
        <w:b/>
        <w:bCs/>
        <w:noProof/>
        <w:color w:val="002060"/>
        <w:sz w:val="28"/>
        <w:szCs w:val="28"/>
      </w:rPr>
      <w:t>Public rights period – common errors</w:t>
    </w:r>
    <w:r w:rsidR="002744DE" w:rsidRPr="002C09C2">
      <w:rPr>
        <w:b/>
        <w:bCs/>
      </w:rPr>
      <w:tab/>
    </w:r>
  </w:p>
  <w:p w14:paraId="79859B5D" w14:textId="77777777" w:rsidR="002744DE" w:rsidRDefault="002744DE" w:rsidP="002744DE">
    <w:pPr>
      <w:pStyle w:val="Header"/>
    </w:pPr>
    <w:r>
      <w:rPr>
        <w:noProof/>
        <w:lang w:eastAsia="en-GB"/>
      </w:rPr>
      <mc:AlternateContent>
        <mc:Choice Requires="wps">
          <w:drawing>
            <wp:anchor distT="4294967295" distB="4294967295" distL="114300" distR="114300" simplePos="0" relativeHeight="251656192" behindDoc="0" locked="0" layoutInCell="1" allowOverlap="1" wp14:anchorId="600A27E0" wp14:editId="00A8B46A">
              <wp:simplePos x="0" y="0"/>
              <wp:positionH relativeFrom="margin">
                <wp:align>left</wp:align>
              </wp:positionH>
              <wp:positionV relativeFrom="paragraph">
                <wp:posOffset>140589</wp:posOffset>
              </wp:positionV>
              <wp:extent cx="6058800" cy="0"/>
              <wp:effectExtent l="0" t="0" r="3746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8800" cy="0"/>
                      </a:xfrm>
                      <a:prstGeom prst="line">
                        <a:avLst/>
                      </a:prstGeom>
                      <a:noFill/>
                      <a:ln w="6350" cap="flat" cmpd="sng" algn="ctr">
                        <a:solidFill>
                          <a:srgbClr val="0A296E"/>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3D4A0FC" id="Straight Connector 2" o:spid="_x0000_s1026" style="position:absolute;z-index:25165977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page" from="0,11.05pt" to="477.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" strokecolor="#0a296e" strokeweight=".5pt">
              <o:lock v:ext="edit" shapetype="f"/>
              <w10:wrap anchorx="margin"/>
            </v:line>
          </w:pict>
        </mc:Fallback>
      </mc:AlternateContent>
    </w:r>
  </w:p>
  <w:p w14:paraId="15A645BC" w14:textId="77777777" w:rsidR="003F0810" w:rsidRDefault="003F08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496"/>
    <w:multiLevelType w:val="multilevel"/>
    <w:tmpl w:val="A75A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551DF"/>
    <w:multiLevelType w:val="hybridMultilevel"/>
    <w:tmpl w:val="1852410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786904"/>
    <w:multiLevelType w:val="multilevel"/>
    <w:tmpl w:val="B58A174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64E71"/>
    <w:multiLevelType w:val="hybridMultilevel"/>
    <w:tmpl w:val="1F322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C5C63BC"/>
    <w:multiLevelType w:val="multilevel"/>
    <w:tmpl w:val="EEE8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031528"/>
    <w:multiLevelType w:val="multilevel"/>
    <w:tmpl w:val="92B6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68314F"/>
    <w:multiLevelType w:val="hybridMultilevel"/>
    <w:tmpl w:val="C1568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5F4"/>
    <w:rsid w:val="000043B5"/>
    <w:rsid w:val="000257B6"/>
    <w:rsid w:val="000373E2"/>
    <w:rsid w:val="000B54F8"/>
    <w:rsid w:val="000F607D"/>
    <w:rsid w:val="00105457"/>
    <w:rsid w:val="00164468"/>
    <w:rsid w:val="00270EC7"/>
    <w:rsid w:val="002744DE"/>
    <w:rsid w:val="002B3731"/>
    <w:rsid w:val="002C09C2"/>
    <w:rsid w:val="002D26ED"/>
    <w:rsid w:val="0033562A"/>
    <w:rsid w:val="00347B2E"/>
    <w:rsid w:val="003D7CD2"/>
    <w:rsid w:val="003F0810"/>
    <w:rsid w:val="00410765"/>
    <w:rsid w:val="00485970"/>
    <w:rsid w:val="004C57EA"/>
    <w:rsid w:val="004C742F"/>
    <w:rsid w:val="004D3757"/>
    <w:rsid w:val="00506907"/>
    <w:rsid w:val="005415F4"/>
    <w:rsid w:val="005E7D48"/>
    <w:rsid w:val="00691A1D"/>
    <w:rsid w:val="00720B17"/>
    <w:rsid w:val="00724E99"/>
    <w:rsid w:val="00782436"/>
    <w:rsid w:val="007D553C"/>
    <w:rsid w:val="007F6AAD"/>
    <w:rsid w:val="009601B6"/>
    <w:rsid w:val="009B0E6C"/>
    <w:rsid w:val="00A53249"/>
    <w:rsid w:val="00AB27C6"/>
    <w:rsid w:val="00AD2C48"/>
    <w:rsid w:val="00B01412"/>
    <w:rsid w:val="00B16505"/>
    <w:rsid w:val="00B40596"/>
    <w:rsid w:val="00BD684E"/>
    <w:rsid w:val="00BE4F91"/>
    <w:rsid w:val="00DF58D5"/>
    <w:rsid w:val="00E4041C"/>
    <w:rsid w:val="00F0308F"/>
    <w:rsid w:val="00F3354A"/>
    <w:rsid w:val="00FC54A5"/>
    <w:rsid w:val="00FF6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1E884"/>
  <w15:chartTrackingRefBased/>
  <w15:docId w15:val="{F06E1EB7-157D-492B-B150-6E3451EE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415F4"/>
    <w:pPr>
      <w:spacing w:after="0" w:line="240" w:lineRule="auto"/>
    </w:pPr>
    <w:rPr>
      <w:szCs w:val="21"/>
    </w:rPr>
  </w:style>
  <w:style w:type="character" w:customStyle="1" w:styleId="PlainTextChar">
    <w:name w:val="Plain Text Char"/>
    <w:basedOn w:val="DefaultParagraphFont"/>
    <w:link w:val="PlainText"/>
    <w:uiPriority w:val="99"/>
    <w:semiHidden/>
    <w:rsid w:val="005415F4"/>
    <w:rPr>
      <w:szCs w:val="21"/>
    </w:rPr>
  </w:style>
  <w:style w:type="paragraph" w:styleId="Header">
    <w:name w:val="header"/>
    <w:basedOn w:val="Normal"/>
    <w:link w:val="HeaderChar"/>
    <w:uiPriority w:val="99"/>
    <w:unhideWhenUsed/>
    <w:rsid w:val="003F0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810"/>
  </w:style>
  <w:style w:type="paragraph" w:styleId="Footer">
    <w:name w:val="footer"/>
    <w:basedOn w:val="Normal"/>
    <w:link w:val="FooterChar"/>
    <w:uiPriority w:val="99"/>
    <w:unhideWhenUsed/>
    <w:rsid w:val="003F0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810"/>
  </w:style>
  <w:style w:type="paragraph" w:customStyle="1" w:styleId="Body">
    <w:name w:val="Body"/>
    <w:rsid w:val="002744DE"/>
    <w:pPr>
      <w:pBdr>
        <w:top w:val="nil"/>
        <w:left w:val="nil"/>
        <w:bottom w:val="nil"/>
        <w:right w:val="nil"/>
        <w:between w:val="nil"/>
        <w:bar w:val="nil"/>
      </w:pBdr>
    </w:pPr>
    <w:rPr>
      <w:rFonts w:eastAsia="Arial Unicode MS" w:cs="Arial Unicode MS"/>
      <w:color w:val="000000"/>
      <w:szCs w:val="24"/>
      <w:u w:color="000000"/>
      <w:bdr w:val="nil"/>
      <w:lang w:val="en-US" w:eastAsia="en-GB"/>
    </w:rPr>
  </w:style>
  <w:style w:type="paragraph" w:styleId="ListParagraph">
    <w:name w:val="List Paragraph"/>
    <w:rsid w:val="002744DE"/>
    <w:pPr>
      <w:pBdr>
        <w:top w:val="nil"/>
        <w:left w:val="nil"/>
        <w:bottom w:val="nil"/>
        <w:right w:val="nil"/>
        <w:between w:val="nil"/>
        <w:bar w:val="nil"/>
      </w:pBdr>
      <w:ind w:left="720"/>
    </w:pPr>
    <w:rPr>
      <w:rFonts w:eastAsia="Arial Unicode MS" w:cs="Arial Unicode MS"/>
      <w:color w:val="000000"/>
      <w:szCs w:val="24"/>
      <w:u w:color="000000"/>
      <w:bdr w:val="nil"/>
      <w:lang w:val="en-US" w:eastAsia="en-GB"/>
    </w:rPr>
  </w:style>
  <w:style w:type="table" w:styleId="TableGrid">
    <w:name w:val="Table Grid"/>
    <w:basedOn w:val="TableNormal"/>
    <w:uiPriority w:val="59"/>
    <w:unhideWhenUsed/>
    <w:rsid w:val="00AD2C4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51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dc:creator>
  <cp:keywords/>
  <dc:description/>
  <cp:lastModifiedBy>Howard</cp:lastModifiedBy>
  <cp:revision>3</cp:revision>
  <cp:lastPrinted>2016-09-26T07:40:00Z</cp:lastPrinted>
  <dcterms:created xsi:type="dcterms:W3CDTF">2020-02-14T15:24:00Z</dcterms:created>
  <dcterms:modified xsi:type="dcterms:W3CDTF">2020-02-14T15:30:00Z</dcterms:modified>
</cp:coreProperties>
</file>