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5C1C6" w14:textId="361F5285" w:rsidR="0098764F" w:rsidRDefault="0098764F" w:rsidP="0098764F">
      <w:pPr>
        <w:spacing w:after="0" w:line="240" w:lineRule="auto"/>
        <w:jc w:val="center"/>
        <w:rPr>
          <w:rFonts w:ascii="Century Gothic" w:eastAsia="Times New Roman" w:hAnsi="Century Gothic" w:cs="Arial"/>
          <w:b/>
          <w:sz w:val="24"/>
          <w:szCs w:val="24"/>
        </w:rPr>
      </w:pPr>
      <w:r>
        <w:rPr>
          <w:rFonts w:ascii="Century Gothic" w:eastAsia="Times New Roman" w:hAnsi="Century Gothic" w:cs="Arial"/>
          <w:b/>
          <w:sz w:val="24"/>
          <w:szCs w:val="24"/>
        </w:rPr>
        <w:t>MACCLESFIELD TOWN COUNCIL</w:t>
      </w:r>
    </w:p>
    <w:p w14:paraId="6FA6B7F6" w14:textId="77777777" w:rsidR="0098764F" w:rsidRDefault="0098764F" w:rsidP="0098764F">
      <w:pPr>
        <w:spacing w:after="0" w:line="240" w:lineRule="auto"/>
        <w:jc w:val="center"/>
        <w:rPr>
          <w:rFonts w:ascii="Century Gothic" w:eastAsia="Times New Roman" w:hAnsi="Century Gothic" w:cs="Arial"/>
          <w:b/>
          <w:sz w:val="24"/>
          <w:szCs w:val="24"/>
        </w:rPr>
      </w:pPr>
    </w:p>
    <w:p w14:paraId="32B204BE" w14:textId="6AAD7B60" w:rsidR="0098764F" w:rsidRDefault="0098764F" w:rsidP="0098764F">
      <w:pPr>
        <w:spacing w:after="0" w:line="240" w:lineRule="auto"/>
        <w:jc w:val="center"/>
        <w:rPr>
          <w:rFonts w:ascii="Century Gothic" w:eastAsia="Times New Roman" w:hAnsi="Century Gothic" w:cs="Arial"/>
          <w:b/>
          <w:sz w:val="24"/>
          <w:szCs w:val="24"/>
        </w:rPr>
      </w:pPr>
      <w:r w:rsidRPr="0098764F">
        <w:rPr>
          <w:rFonts w:ascii="Century Gothic" w:eastAsia="Times New Roman" w:hAnsi="Century Gothic" w:cs="Arial"/>
          <w:b/>
          <w:sz w:val="24"/>
          <w:szCs w:val="24"/>
        </w:rPr>
        <w:t xml:space="preserve">KEY TERMS </w:t>
      </w:r>
      <w:smartTag w:uri="urn:schemas-microsoft-com:office:smarttags" w:element="stockticker">
        <w:r w:rsidRPr="0098764F">
          <w:rPr>
            <w:rFonts w:ascii="Century Gothic" w:eastAsia="Times New Roman" w:hAnsi="Century Gothic" w:cs="Arial"/>
            <w:b/>
            <w:sz w:val="24"/>
            <w:szCs w:val="24"/>
          </w:rPr>
          <w:t>AND</w:t>
        </w:r>
      </w:smartTag>
      <w:r w:rsidRPr="0098764F">
        <w:rPr>
          <w:rFonts w:ascii="Century Gothic" w:eastAsia="Times New Roman" w:hAnsi="Century Gothic" w:cs="Arial"/>
          <w:b/>
          <w:sz w:val="24"/>
          <w:szCs w:val="24"/>
        </w:rPr>
        <w:t xml:space="preserve"> CONDITIONS OF EMPLOYMENT</w:t>
      </w:r>
    </w:p>
    <w:p w14:paraId="1C630185" w14:textId="1D3E1785" w:rsidR="0098764F" w:rsidRDefault="0098764F" w:rsidP="0098764F">
      <w:pPr>
        <w:spacing w:after="0" w:line="240" w:lineRule="auto"/>
        <w:jc w:val="center"/>
        <w:rPr>
          <w:rFonts w:ascii="Century Gothic" w:eastAsia="Times New Roman" w:hAnsi="Century Gothic" w:cs="Arial"/>
          <w:b/>
          <w:sz w:val="24"/>
          <w:szCs w:val="24"/>
        </w:rPr>
      </w:pPr>
    </w:p>
    <w:p w14:paraId="721918BD" w14:textId="1097AEA1" w:rsidR="0098764F" w:rsidRPr="0098764F" w:rsidRDefault="0098764F" w:rsidP="0098764F">
      <w:pPr>
        <w:spacing w:after="0" w:line="240" w:lineRule="auto"/>
        <w:jc w:val="center"/>
        <w:rPr>
          <w:rFonts w:ascii="Century Gothic" w:eastAsia="Times New Roman" w:hAnsi="Century Gothic" w:cs="Arial"/>
          <w:b/>
          <w:sz w:val="24"/>
          <w:szCs w:val="24"/>
        </w:rPr>
      </w:pPr>
      <w:r>
        <w:rPr>
          <w:rFonts w:ascii="Century Gothic" w:eastAsia="Times New Roman" w:hAnsi="Century Gothic" w:cs="Arial"/>
          <w:b/>
          <w:sz w:val="24"/>
          <w:szCs w:val="24"/>
        </w:rPr>
        <w:t>TOWN CLERK</w:t>
      </w:r>
    </w:p>
    <w:tbl>
      <w:tblPr>
        <w:tblW w:w="0" w:type="auto"/>
        <w:tblLayout w:type="fixed"/>
        <w:tblLook w:val="04A0" w:firstRow="1" w:lastRow="0" w:firstColumn="1" w:lastColumn="0" w:noHBand="0" w:noVBand="1"/>
      </w:tblPr>
      <w:tblGrid>
        <w:gridCol w:w="2628"/>
        <w:gridCol w:w="6228"/>
      </w:tblGrid>
      <w:tr w:rsidR="0098764F" w:rsidRPr="0098764F" w14:paraId="2F7A8650" w14:textId="77777777" w:rsidTr="0098764F">
        <w:tc>
          <w:tcPr>
            <w:tcW w:w="2628" w:type="dxa"/>
          </w:tcPr>
          <w:p w14:paraId="726CBDA5" w14:textId="77777777" w:rsidR="0098764F" w:rsidRPr="0098764F" w:rsidRDefault="0098764F" w:rsidP="0098764F">
            <w:pPr>
              <w:spacing w:after="0" w:line="240" w:lineRule="auto"/>
              <w:rPr>
                <w:rFonts w:ascii="Century Gothic" w:eastAsia="Times New Roman" w:hAnsi="Century Gothic" w:cs="Arial"/>
                <w:b/>
                <w:sz w:val="24"/>
                <w:szCs w:val="24"/>
              </w:rPr>
            </w:pPr>
          </w:p>
          <w:p w14:paraId="50B44DDD" w14:textId="77777777" w:rsidR="0098764F" w:rsidRPr="0098764F" w:rsidRDefault="0098764F" w:rsidP="0098764F">
            <w:pPr>
              <w:spacing w:after="0" w:line="240" w:lineRule="auto"/>
              <w:rPr>
                <w:rFonts w:ascii="Century Gothic" w:eastAsia="Times New Roman" w:hAnsi="Century Gothic" w:cs="Arial"/>
                <w:b/>
                <w:sz w:val="24"/>
                <w:szCs w:val="24"/>
              </w:rPr>
            </w:pPr>
            <w:r w:rsidRPr="0098764F">
              <w:rPr>
                <w:rFonts w:ascii="Century Gothic" w:eastAsia="Times New Roman" w:hAnsi="Century Gothic" w:cs="Arial"/>
                <w:b/>
                <w:sz w:val="24"/>
                <w:szCs w:val="24"/>
              </w:rPr>
              <w:t>General</w:t>
            </w:r>
          </w:p>
          <w:p w14:paraId="301BF8EB" w14:textId="77777777" w:rsidR="0098764F" w:rsidRPr="0098764F" w:rsidRDefault="0098764F" w:rsidP="0098764F">
            <w:pPr>
              <w:spacing w:after="0" w:line="240" w:lineRule="auto"/>
              <w:rPr>
                <w:rFonts w:ascii="Century Gothic" w:eastAsia="Times New Roman" w:hAnsi="Century Gothic" w:cs="Arial"/>
                <w:b/>
                <w:sz w:val="24"/>
                <w:szCs w:val="24"/>
              </w:rPr>
            </w:pPr>
          </w:p>
        </w:tc>
        <w:tc>
          <w:tcPr>
            <w:tcW w:w="6228" w:type="dxa"/>
          </w:tcPr>
          <w:p w14:paraId="3C291CD9" w14:textId="77777777" w:rsidR="0098764F" w:rsidRPr="0098764F" w:rsidRDefault="0098764F" w:rsidP="0098764F">
            <w:pPr>
              <w:spacing w:after="0" w:line="240" w:lineRule="auto"/>
              <w:jc w:val="both"/>
              <w:rPr>
                <w:rFonts w:ascii="Century Gothic" w:eastAsia="Times New Roman" w:hAnsi="Century Gothic" w:cs="Arial"/>
                <w:sz w:val="24"/>
                <w:szCs w:val="24"/>
              </w:rPr>
            </w:pPr>
          </w:p>
          <w:p w14:paraId="104483A2" w14:textId="77777777" w:rsidR="0098764F" w:rsidRPr="0098764F" w:rsidRDefault="0098764F" w:rsidP="0098764F">
            <w:pPr>
              <w:spacing w:after="0" w:line="240" w:lineRule="auto"/>
              <w:jc w:val="both"/>
              <w:rPr>
                <w:rFonts w:ascii="Century Gothic" w:eastAsia="Times New Roman" w:hAnsi="Century Gothic" w:cs="Arial"/>
                <w:sz w:val="24"/>
                <w:szCs w:val="24"/>
              </w:rPr>
            </w:pPr>
            <w:r w:rsidRPr="0098764F">
              <w:rPr>
                <w:rFonts w:ascii="Century Gothic" w:eastAsia="Times New Roman" w:hAnsi="Century Gothic" w:cs="Arial"/>
                <w:sz w:val="24"/>
                <w:szCs w:val="24"/>
              </w:rPr>
              <w:t>The terms and conditions of employment are generally in accordance with the National Joint Council Scheme of Conditions of Service and the provisions of the National Association of Local Councils and the Society of Local Council Clerks Conditions of Service for Clerks of Local Councils or as amended by the Council.</w:t>
            </w:r>
          </w:p>
        </w:tc>
      </w:tr>
      <w:tr w:rsidR="0098764F" w:rsidRPr="0098764F" w14:paraId="289922BF" w14:textId="77777777" w:rsidTr="0098764F">
        <w:tc>
          <w:tcPr>
            <w:tcW w:w="2628" w:type="dxa"/>
          </w:tcPr>
          <w:p w14:paraId="0A7F8834" w14:textId="77777777" w:rsidR="0098764F" w:rsidRPr="0098764F" w:rsidRDefault="0098764F" w:rsidP="0098764F">
            <w:pPr>
              <w:spacing w:after="0" w:line="240" w:lineRule="auto"/>
              <w:rPr>
                <w:rFonts w:ascii="Century Gothic" w:eastAsia="Times New Roman" w:hAnsi="Century Gothic" w:cs="Arial"/>
                <w:b/>
                <w:sz w:val="24"/>
                <w:szCs w:val="24"/>
              </w:rPr>
            </w:pPr>
          </w:p>
          <w:p w14:paraId="5998DDE6" w14:textId="77777777" w:rsidR="0098764F" w:rsidRPr="0098764F" w:rsidRDefault="0098764F" w:rsidP="0098764F">
            <w:pPr>
              <w:spacing w:after="0" w:line="240" w:lineRule="auto"/>
              <w:rPr>
                <w:rFonts w:ascii="Century Gothic" w:eastAsia="Times New Roman" w:hAnsi="Century Gothic" w:cs="Arial"/>
                <w:b/>
                <w:sz w:val="24"/>
                <w:szCs w:val="24"/>
              </w:rPr>
            </w:pPr>
            <w:r w:rsidRPr="0098764F">
              <w:rPr>
                <w:rFonts w:ascii="Century Gothic" w:eastAsia="Times New Roman" w:hAnsi="Century Gothic" w:cs="Arial"/>
                <w:b/>
                <w:sz w:val="24"/>
                <w:szCs w:val="24"/>
              </w:rPr>
              <w:t xml:space="preserve">Salary </w:t>
            </w:r>
          </w:p>
        </w:tc>
        <w:tc>
          <w:tcPr>
            <w:tcW w:w="6228" w:type="dxa"/>
          </w:tcPr>
          <w:p w14:paraId="5885A46F" w14:textId="77777777" w:rsidR="0098764F" w:rsidRPr="0098764F" w:rsidRDefault="0098764F" w:rsidP="0098764F">
            <w:pPr>
              <w:spacing w:after="0" w:line="240" w:lineRule="auto"/>
              <w:jc w:val="both"/>
              <w:rPr>
                <w:rFonts w:ascii="Century Gothic" w:eastAsia="Times New Roman" w:hAnsi="Century Gothic" w:cs="Arial"/>
                <w:sz w:val="24"/>
                <w:szCs w:val="24"/>
              </w:rPr>
            </w:pPr>
          </w:p>
          <w:p w14:paraId="1A021509" w14:textId="2A0B3E42" w:rsidR="0098764F" w:rsidRPr="0098764F" w:rsidRDefault="0098764F" w:rsidP="0098764F">
            <w:pPr>
              <w:spacing w:after="0" w:line="240" w:lineRule="auto"/>
              <w:jc w:val="both"/>
              <w:rPr>
                <w:rFonts w:ascii="Century Gothic" w:eastAsia="Times New Roman" w:hAnsi="Century Gothic" w:cs="Arial"/>
                <w:sz w:val="24"/>
                <w:szCs w:val="24"/>
              </w:rPr>
            </w:pPr>
            <w:r w:rsidRPr="0098764F">
              <w:rPr>
                <w:rFonts w:ascii="Century Gothic" w:eastAsia="Times New Roman" w:hAnsi="Century Gothic" w:cs="Arial"/>
                <w:sz w:val="24"/>
                <w:szCs w:val="24"/>
              </w:rPr>
              <w:t xml:space="preserve">Salary is negotiable within Salary Range </w:t>
            </w:r>
            <w:r>
              <w:rPr>
                <w:rFonts w:ascii="Century Gothic" w:eastAsia="Times New Roman" w:hAnsi="Century Gothic" w:cs="Arial"/>
                <w:sz w:val="24"/>
                <w:szCs w:val="24"/>
              </w:rPr>
              <w:t>LC4 SCP Range 46 – 50 £49,101 to £54,194.</w:t>
            </w:r>
          </w:p>
          <w:p w14:paraId="5CEDC486" w14:textId="77777777" w:rsidR="0098764F" w:rsidRPr="0098764F" w:rsidRDefault="0098764F" w:rsidP="0098764F">
            <w:pPr>
              <w:spacing w:after="0" w:line="240" w:lineRule="auto"/>
              <w:jc w:val="both"/>
              <w:rPr>
                <w:rFonts w:ascii="Century Gothic" w:eastAsia="Times New Roman" w:hAnsi="Century Gothic" w:cs="Arial"/>
                <w:sz w:val="24"/>
                <w:szCs w:val="24"/>
              </w:rPr>
            </w:pPr>
          </w:p>
        </w:tc>
      </w:tr>
      <w:tr w:rsidR="0098764F" w:rsidRPr="0098764F" w14:paraId="7D135F00" w14:textId="77777777" w:rsidTr="0098764F">
        <w:tc>
          <w:tcPr>
            <w:tcW w:w="2628" w:type="dxa"/>
          </w:tcPr>
          <w:p w14:paraId="15D6B99A" w14:textId="77777777" w:rsidR="0098764F" w:rsidRPr="0098764F" w:rsidRDefault="0098764F" w:rsidP="0098764F">
            <w:pPr>
              <w:spacing w:after="0" w:line="240" w:lineRule="auto"/>
              <w:rPr>
                <w:rFonts w:ascii="Century Gothic" w:eastAsia="Times New Roman" w:hAnsi="Century Gothic" w:cs="Arial"/>
                <w:b/>
                <w:sz w:val="24"/>
                <w:szCs w:val="24"/>
              </w:rPr>
            </w:pPr>
            <w:r w:rsidRPr="0098764F">
              <w:rPr>
                <w:rFonts w:ascii="Century Gothic" w:eastAsia="Times New Roman" w:hAnsi="Century Gothic" w:cs="Arial"/>
                <w:b/>
                <w:sz w:val="24"/>
                <w:szCs w:val="24"/>
              </w:rPr>
              <w:t>Working Week</w:t>
            </w:r>
          </w:p>
          <w:p w14:paraId="699B15F8" w14:textId="77777777" w:rsidR="0098764F" w:rsidRPr="0098764F" w:rsidRDefault="0098764F" w:rsidP="0098764F">
            <w:pPr>
              <w:spacing w:after="0" w:line="240" w:lineRule="auto"/>
              <w:rPr>
                <w:rFonts w:ascii="Century Gothic" w:eastAsia="Times New Roman" w:hAnsi="Century Gothic" w:cs="Arial"/>
                <w:b/>
                <w:sz w:val="24"/>
                <w:szCs w:val="24"/>
              </w:rPr>
            </w:pPr>
          </w:p>
        </w:tc>
        <w:tc>
          <w:tcPr>
            <w:tcW w:w="6228" w:type="dxa"/>
          </w:tcPr>
          <w:p w14:paraId="7DA6C0CD" w14:textId="72E91CC9" w:rsidR="0098764F" w:rsidRPr="0098764F" w:rsidRDefault="0098764F" w:rsidP="0098764F">
            <w:pPr>
              <w:spacing w:after="0" w:line="240" w:lineRule="auto"/>
              <w:jc w:val="both"/>
              <w:rPr>
                <w:rFonts w:ascii="Century Gothic" w:eastAsia="Times New Roman" w:hAnsi="Century Gothic" w:cs="Arial"/>
                <w:sz w:val="24"/>
                <w:szCs w:val="24"/>
              </w:rPr>
            </w:pPr>
            <w:r w:rsidRPr="0098764F">
              <w:rPr>
                <w:rFonts w:ascii="Century Gothic" w:eastAsia="Times New Roman" w:hAnsi="Century Gothic" w:cs="Arial"/>
                <w:sz w:val="24"/>
                <w:szCs w:val="24"/>
              </w:rPr>
              <w:t>The normal full-time working week is</w:t>
            </w:r>
            <w:r>
              <w:rPr>
                <w:rFonts w:ascii="Century Gothic" w:eastAsia="Times New Roman" w:hAnsi="Century Gothic" w:cs="Arial"/>
                <w:sz w:val="24"/>
                <w:szCs w:val="24"/>
              </w:rPr>
              <w:t xml:space="preserve"> 37 hours to be worked flexibly to meet the needs of the council’s operation </w:t>
            </w:r>
            <w:r w:rsidRPr="0098764F">
              <w:rPr>
                <w:rFonts w:ascii="Century Gothic" w:eastAsia="Times New Roman" w:hAnsi="Century Gothic" w:cs="Arial"/>
                <w:sz w:val="24"/>
                <w:szCs w:val="24"/>
              </w:rPr>
              <w:t xml:space="preserve">plus negotiated study/training time as appropriate. </w:t>
            </w:r>
          </w:p>
          <w:p w14:paraId="013F8664" w14:textId="77777777" w:rsidR="0098764F" w:rsidRPr="0098764F" w:rsidRDefault="0098764F" w:rsidP="0098764F">
            <w:pPr>
              <w:spacing w:after="0" w:line="240" w:lineRule="auto"/>
              <w:jc w:val="both"/>
              <w:rPr>
                <w:rFonts w:ascii="Century Gothic" w:eastAsia="Times New Roman" w:hAnsi="Century Gothic" w:cs="Arial"/>
                <w:sz w:val="24"/>
                <w:szCs w:val="24"/>
              </w:rPr>
            </w:pPr>
          </w:p>
        </w:tc>
      </w:tr>
      <w:tr w:rsidR="0098764F" w:rsidRPr="0098764F" w14:paraId="61C3EC55" w14:textId="77777777" w:rsidTr="0098764F">
        <w:tc>
          <w:tcPr>
            <w:tcW w:w="2628" w:type="dxa"/>
          </w:tcPr>
          <w:p w14:paraId="6B307770" w14:textId="77777777" w:rsidR="0098764F" w:rsidRPr="0098764F" w:rsidRDefault="0098764F" w:rsidP="0098764F">
            <w:pPr>
              <w:spacing w:after="0" w:line="240" w:lineRule="auto"/>
              <w:rPr>
                <w:rFonts w:ascii="Century Gothic" w:eastAsia="Times New Roman" w:hAnsi="Century Gothic" w:cs="Arial"/>
                <w:b/>
                <w:sz w:val="24"/>
                <w:szCs w:val="24"/>
              </w:rPr>
            </w:pPr>
            <w:r w:rsidRPr="0098764F">
              <w:rPr>
                <w:rFonts w:ascii="Century Gothic" w:eastAsia="Times New Roman" w:hAnsi="Century Gothic" w:cs="Arial"/>
                <w:b/>
                <w:sz w:val="24"/>
                <w:szCs w:val="24"/>
              </w:rPr>
              <w:t>Days and Hours of Work</w:t>
            </w:r>
          </w:p>
          <w:p w14:paraId="3D62F368" w14:textId="77777777" w:rsidR="0098764F" w:rsidRPr="0098764F" w:rsidRDefault="0098764F" w:rsidP="0098764F">
            <w:pPr>
              <w:spacing w:after="0" w:line="240" w:lineRule="auto"/>
              <w:rPr>
                <w:rFonts w:ascii="Century Gothic" w:eastAsia="Times New Roman" w:hAnsi="Century Gothic" w:cs="Arial"/>
                <w:b/>
                <w:sz w:val="24"/>
                <w:szCs w:val="24"/>
              </w:rPr>
            </w:pPr>
          </w:p>
        </w:tc>
        <w:tc>
          <w:tcPr>
            <w:tcW w:w="6228" w:type="dxa"/>
          </w:tcPr>
          <w:p w14:paraId="1820B008" w14:textId="20C131EC" w:rsidR="0098764F" w:rsidRPr="00B75B6E" w:rsidRDefault="0098764F" w:rsidP="0098764F">
            <w:pPr>
              <w:spacing w:after="0" w:line="240" w:lineRule="auto"/>
              <w:jc w:val="both"/>
              <w:rPr>
                <w:rFonts w:ascii="Century Gothic" w:eastAsia="Times New Roman" w:hAnsi="Century Gothic" w:cs="Arial"/>
                <w:sz w:val="24"/>
                <w:szCs w:val="24"/>
              </w:rPr>
            </w:pPr>
            <w:r w:rsidRPr="00B75B6E">
              <w:rPr>
                <w:rFonts w:ascii="Century Gothic" w:eastAsia="Times New Roman" w:hAnsi="Century Gothic" w:cs="Arial"/>
                <w:sz w:val="24"/>
                <w:szCs w:val="24"/>
              </w:rPr>
              <w:t xml:space="preserve">Days of work are </w:t>
            </w:r>
            <w:r w:rsidRPr="00B75B6E">
              <w:rPr>
                <w:rFonts w:ascii="Century Gothic" w:eastAsia="Times New Roman" w:hAnsi="Century Gothic" w:cs="Arial"/>
                <w:b/>
                <w:sz w:val="24"/>
                <w:szCs w:val="24"/>
              </w:rPr>
              <w:t>Monday to Friday</w:t>
            </w:r>
            <w:r w:rsidRPr="00B75B6E">
              <w:rPr>
                <w:rFonts w:ascii="Century Gothic" w:eastAsia="Times New Roman" w:hAnsi="Century Gothic" w:cs="Arial"/>
                <w:sz w:val="24"/>
                <w:szCs w:val="24"/>
              </w:rPr>
              <w:t xml:space="preserve"> and the</w:t>
            </w:r>
            <w:r w:rsidR="00F83523" w:rsidRPr="00B75B6E">
              <w:rPr>
                <w:rFonts w:ascii="Century Gothic" w:eastAsia="Times New Roman" w:hAnsi="Century Gothic" w:cs="Arial"/>
                <w:sz w:val="24"/>
                <w:szCs w:val="24"/>
              </w:rPr>
              <w:t xml:space="preserve"> core</w:t>
            </w:r>
            <w:r w:rsidRPr="00B75B6E">
              <w:rPr>
                <w:rFonts w:ascii="Century Gothic" w:eastAsia="Times New Roman" w:hAnsi="Century Gothic" w:cs="Arial"/>
                <w:sz w:val="24"/>
                <w:szCs w:val="24"/>
              </w:rPr>
              <w:t xml:space="preserve"> office hours are </w:t>
            </w:r>
            <w:r w:rsidR="00F83523" w:rsidRPr="00B75B6E">
              <w:rPr>
                <w:rFonts w:ascii="Century Gothic" w:eastAsia="Times New Roman" w:hAnsi="Century Gothic" w:cs="Arial"/>
                <w:b/>
                <w:sz w:val="24"/>
                <w:szCs w:val="24"/>
              </w:rPr>
              <w:t>10am</w:t>
            </w:r>
            <w:r w:rsidRPr="00B75B6E">
              <w:rPr>
                <w:rFonts w:ascii="Century Gothic" w:eastAsia="Times New Roman" w:hAnsi="Century Gothic" w:cs="Arial"/>
                <w:b/>
                <w:sz w:val="24"/>
                <w:szCs w:val="24"/>
              </w:rPr>
              <w:t xml:space="preserve"> am to </w:t>
            </w:r>
            <w:r w:rsidR="00F83523" w:rsidRPr="00B75B6E">
              <w:rPr>
                <w:rFonts w:ascii="Century Gothic" w:eastAsia="Times New Roman" w:hAnsi="Century Gothic" w:cs="Arial"/>
                <w:b/>
                <w:sz w:val="24"/>
                <w:szCs w:val="24"/>
              </w:rPr>
              <w:t>2pm</w:t>
            </w:r>
            <w:r w:rsidRPr="00B75B6E">
              <w:rPr>
                <w:rFonts w:ascii="Century Gothic" w:eastAsia="Times New Roman" w:hAnsi="Century Gothic" w:cs="Arial"/>
                <w:b/>
                <w:sz w:val="24"/>
                <w:szCs w:val="24"/>
              </w:rPr>
              <w:t xml:space="preserve"> pm</w:t>
            </w:r>
            <w:r w:rsidRPr="00B75B6E">
              <w:rPr>
                <w:rFonts w:ascii="Century Gothic" w:eastAsia="Times New Roman" w:hAnsi="Century Gothic" w:cs="Arial"/>
                <w:sz w:val="24"/>
                <w:szCs w:val="24"/>
              </w:rPr>
              <w:t xml:space="preserve"> but the hours of work will be flexible by agreement to include attendance at evening or weekend meetings and functions for which time off in lieu is granted. </w:t>
            </w:r>
          </w:p>
          <w:p w14:paraId="390DCED1" w14:textId="77777777" w:rsidR="0098764F" w:rsidRPr="00B75B6E" w:rsidRDefault="0098764F" w:rsidP="0098764F">
            <w:pPr>
              <w:spacing w:after="0" w:line="240" w:lineRule="auto"/>
              <w:jc w:val="both"/>
              <w:rPr>
                <w:rFonts w:ascii="Century Gothic" w:eastAsia="Times New Roman" w:hAnsi="Century Gothic" w:cs="Arial"/>
                <w:sz w:val="24"/>
                <w:szCs w:val="24"/>
              </w:rPr>
            </w:pPr>
          </w:p>
        </w:tc>
      </w:tr>
      <w:tr w:rsidR="0098764F" w:rsidRPr="0098764F" w14:paraId="6616C837" w14:textId="77777777" w:rsidTr="0098764F">
        <w:tc>
          <w:tcPr>
            <w:tcW w:w="2628" w:type="dxa"/>
          </w:tcPr>
          <w:p w14:paraId="344E72DD" w14:textId="77777777" w:rsidR="0098764F" w:rsidRPr="0098764F" w:rsidRDefault="0098764F" w:rsidP="0098764F">
            <w:pPr>
              <w:spacing w:after="0" w:line="240" w:lineRule="auto"/>
              <w:rPr>
                <w:rFonts w:ascii="Century Gothic" w:eastAsia="Times New Roman" w:hAnsi="Century Gothic" w:cs="Arial"/>
                <w:b/>
                <w:sz w:val="24"/>
                <w:szCs w:val="24"/>
              </w:rPr>
            </w:pPr>
            <w:r w:rsidRPr="0098764F">
              <w:rPr>
                <w:rFonts w:ascii="Century Gothic" w:eastAsia="Times New Roman" w:hAnsi="Century Gothic" w:cs="Arial"/>
                <w:b/>
                <w:sz w:val="24"/>
                <w:szCs w:val="24"/>
              </w:rPr>
              <w:t>Annual Leave</w:t>
            </w:r>
          </w:p>
          <w:p w14:paraId="40995709" w14:textId="77777777" w:rsidR="0098764F" w:rsidRPr="0098764F" w:rsidRDefault="0098764F" w:rsidP="0098764F">
            <w:pPr>
              <w:spacing w:after="0" w:line="240" w:lineRule="auto"/>
              <w:rPr>
                <w:rFonts w:ascii="Century Gothic" w:eastAsia="Times New Roman" w:hAnsi="Century Gothic" w:cs="Arial"/>
                <w:b/>
                <w:sz w:val="24"/>
                <w:szCs w:val="24"/>
              </w:rPr>
            </w:pPr>
          </w:p>
        </w:tc>
        <w:tc>
          <w:tcPr>
            <w:tcW w:w="6228" w:type="dxa"/>
          </w:tcPr>
          <w:p w14:paraId="55ACCA70" w14:textId="3B8C88F4" w:rsidR="0098764F" w:rsidRPr="0098764F" w:rsidRDefault="0098764F" w:rsidP="0098764F">
            <w:pPr>
              <w:spacing w:after="0" w:line="240" w:lineRule="auto"/>
              <w:jc w:val="both"/>
              <w:rPr>
                <w:rFonts w:ascii="Century Gothic" w:eastAsia="Times New Roman" w:hAnsi="Century Gothic" w:cs="Arial"/>
                <w:sz w:val="24"/>
                <w:szCs w:val="24"/>
              </w:rPr>
            </w:pPr>
            <w:r w:rsidRPr="0098764F">
              <w:rPr>
                <w:rFonts w:ascii="Century Gothic" w:eastAsia="Times New Roman" w:hAnsi="Century Gothic" w:cs="Arial"/>
                <w:b/>
                <w:sz w:val="24"/>
                <w:szCs w:val="24"/>
              </w:rPr>
              <w:t>22 working days (rising to 25 working days</w:t>
            </w:r>
            <w:r w:rsidRPr="0098764F">
              <w:rPr>
                <w:rFonts w:ascii="Century Gothic" w:eastAsia="Times New Roman" w:hAnsi="Century Gothic" w:cs="Arial"/>
                <w:sz w:val="24"/>
                <w:szCs w:val="24"/>
              </w:rPr>
              <w:t xml:space="preserve"> after 5 year’s continuous local government service) plus </w:t>
            </w:r>
            <w:r>
              <w:rPr>
                <w:rFonts w:ascii="Century Gothic" w:eastAsia="Times New Roman" w:hAnsi="Century Gothic" w:cs="Arial"/>
                <w:sz w:val="24"/>
                <w:szCs w:val="24"/>
              </w:rPr>
              <w:t xml:space="preserve">8 </w:t>
            </w:r>
            <w:r w:rsidRPr="0098764F">
              <w:rPr>
                <w:rFonts w:ascii="Century Gothic" w:eastAsia="Times New Roman" w:hAnsi="Century Gothic" w:cs="Arial"/>
                <w:sz w:val="24"/>
                <w:szCs w:val="24"/>
              </w:rPr>
              <w:t>bank and public holidays.</w:t>
            </w:r>
          </w:p>
          <w:p w14:paraId="60DF002E" w14:textId="77777777" w:rsidR="0098764F" w:rsidRPr="0098764F" w:rsidRDefault="0098764F" w:rsidP="0098764F">
            <w:pPr>
              <w:spacing w:after="0" w:line="240" w:lineRule="auto"/>
              <w:jc w:val="both"/>
              <w:rPr>
                <w:rFonts w:ascii="Century Gothic" w:eastAsia="Times New Roman" w:hAnsi="Century Gothic" w:cs="Arial"/>
                <w:sz w:val="24"/>
                <w:szCs w:val="24"/>
              </w:rPr>
            </w:pPr>
          </w:p>
        </w:tc>
      </w:tr>
      <w:tr w:rsidR="0098764F" w:rsidRPr="0098764F" w14:paraId="18F100CD" w14:textId="77777777" w:rsidTr="0098764F">
        <w:tc>
          <w:tcPr>
            <w:tcW w:w="2628" w:type="dxa"/>
          </w:tcPr>
          <w:p w14:paraId="130BC837" w14:textId="77777777" w:rsidR="0098764F" w:rsidRPr="0098764F" w:rsidRDefault="0098764F" w:rsidP="0098764F">
            <w:pPr>
              <w:spacing w:after="0" w:line="240" w:lineRule="auto"/>
              <w:rPr>
                <w:rFonts w:ascii="Century Gothic" w:eastAsia="Times New Roman" w:hAnsi="Century Gothic" w:cs="Arial"/>
                <w:b/>
                <w:sz w:val="24"/>
                <w:szCs w:val="24"/>
              </w:rPr>
            </w:pPr>
            <w:r w:rsidRPr="0098764F">
              <w:rPr>
                <w:rFonts w:ascii="Century Gothic" w:eastAsia="Times New Roman" w:hAnsi="Century Gothic" w:cs="Arial"/>
                <w:b/>
                <w:sz w:val="24"/>
                <w:szCs w:val="24"/>
              </w:rPr>
              <w:t>Pension</w:t>
            </w:r>
          </w:p>
          <w:p w14:paraId="460C9E7A" w14:textId="77777777" w:rsidR="0098764F" w:rsidRPr="0098764F" w:rsidRDefault="0098764F" w:rsidP="0098764F">
            <w:pPr>
              <w:spacing w:after="0" w:line="240" w:lineRule="auto"/>
              <w:rPr>
                <w:rFonts w:ascii="Century Gothic" w:eastAsia="Times New Roman" w:hAnsi="Century Gothic" w:cs="Arial"/>
                <w:b/>
                <w:sz w:val="24"/>
                <w:szCs w:val="24"/>
              </w:rPr>
            </w:pPr>
          </w:p>
        </w:tc>
        <w:tc>
          <w:tcPr>
            <w:tcW w:w="6228" w:type="dxa"/>
          </w:tcPr>
          <w:p w14:paraId="6D01750D" w14:textId="5B23DB04" w:rsidR="0098764F" w:rsidRPr="000A2A57" w:rsidRDefault="0098764F" w:rsidP="0098764F">
            <w:pPr>
              <w:spacing w:after="0" w:line="240" w:lineRule="auto"/>
              <w:jc w:val="both"/>
              <w:rPr>
                <w:rFonts w:ascii="Century Gothic" w:eastAsia="Times New Roman" w:hAnsi="Century Gothic" w:cs="Arial"/>
                <w:color w:val="FF0000"/>
                <w:sz w:val="24"/>
                <w:szCs w:val="24"/>
              </w:rPr>
            </w:pPr>
            <w:r w:rsidRPr="0098764F">
              <w:rPr>
                <w:rFonts w:ascii="Century Gothic" w:eastAsia="Times New Roman" w:hAnsi="Century Gothic" w:cs="Arial"/>
                <w:sz w:val="24"/>
                <w:szCs w:val="24"/>
              </w:rPr>
              <w:t>You may</w:t>
            </w:r>
            <w:r w:rsidRPr="0098764F">
              <w:rPr>
                <w:rFonts w:ascii="Century Gothic" w:eastAsia="Times New Roman" w:hAnsi="Century Gothic" w:cs="Arial"/>
                <w:color w:val="FF0000"/>
                <w:sz w:val="24"/>
                <w:szCs w:val="24"/>
              </w:rPr>
              <w:t xml:space="preserve"> </w:t>
            </w:r>
            <w:r w:rsidR="000A2A57">
              <w:rPr>
                <w:rFonts w:ascii="Century Gothic" w:eastAsia="Times New Roman" w:hAnsi="Century Gothic" w:cs="Arial"/>
                <w:sz w:val="24"/>
                <w:szCs w:val="24"/>
              </w:rPr>
              <w:t>b</w:t>
            </w:r>
            <w:r w:rsidRPr="0098764F">
              <w:rPr>
                <w:rFonts w:ascii="Century Gothic" w:eastAsia="Times New Roman" w:hAnsi="Century Gothic" w:cs="Arial"/>
                <w:sz w:val="24"/>
                <w:szCs w:val="24"/>
              </w:rPr>
              <w:t>ecome a member of the Local</w:t>
            </w:r>
            <w:r w:rsidR="000A2A57">
              <w:rPr>
                <w:rFonts w:ascii="Century Gothic" w:eastAsia="Times New Roman" w:hAnsi="Century Gothic" w:cs="Arial"/>
                <w:sz w:val="24"/>
                <w:szCs w:val="24"/>
              </w:rPr>
              <w:t xml:space="preserve"> </w:t>
            </w:r>
            <w:r w:rsidRPr="0098764F">
              <w:rPr>
                <w:rFonts w:ascii="Century Gothic" w:eastAsia="Times New Roman" w:hAnsi="Century Gothic" w:cs="Arial"/>
                <w:sz w:val="24"/>
                <w:szCs w:val="24"/>
              </w:rPr>
              <w:t>Government Pension Scheme if this is appropriate, which operates a contributory pension scheme and which the successful applicant is entitled to join.</w:t>
            </w:r>
            <w:bookmarkStart w:id="0" w:name="_GoBack"/>
            <w:bookmarkEnd w:id="0"/>
            <w:r w:rsidRPr="0098764F">
              <w:rPr>
                <w:rFonts w:ascii="Century Gothic" w:eastAsia="Times New Roman" w:hAnsi="Century Gothic" w:cs="Arial"/>
                <w:sz w:val="24"/>
                <w:szCs w:val="24"/>
              </w:rPr>
              <w:t xml:space="preserve"> The rate of contribution for the LGPS is based on full time pensionable pay within the </w:t>
            </w:r>
            <w:r w:rsidRPr="00055F89">
              <w:rPr>
                <w:rFonts w:ascii="Century Gothic" w:eastAsia="Times New Roman" w:hAnsi="Century Gothic" w:cs="Arial"/>
                <w:sz w:val="24"/>
                <w:szCs w:val="24"/>
              </w:rPr>
              <w:t xml:space="preserve">range </w:t>
            </w:r>
            <w:r w:rsidR="00055F89" w:rsidRPr="00055F89">
              <w:rPr>
                <w:rFonts w:ascii="Century Gothic" w:eastAsia="Times New Roman" w:hAnsi="Century Gothic" w:cs="Arial"/>
                <w:b/>
                <w:sz w:val="24"/>
                <w:szCs w:val="24"/>
              </w:rPr>
              <w:t xml:space="preserve">5.5 to </w:t>
            </w:r>
            <w:r w:rsidR="00055F89">
              <w:rPr>
                <w:rFonts w:ascii="Century Gothic" w:eastAsia="Times New Roman" w:hAnsi="Century Gothic" w:cs="Arial"/>
                <w:b/>
                <w:sz w:val="24"/>
                <w:szCs w:val="24"/>
              </w:rPr>
              <w:t>9.9</w:t>
            </w:r>
            <w:r w:rsidR="00055F89" w:rsidRPr="00055F89">
              <w:rPr>
                <w:rFonts w:ascii="Century Gothic" w:eastAsia="Times New Roman" w:hAnsi="Century Gothic" w:cs="Arial"/>
                <w:b/>
                <w:sz w:val="24"/>
                <w:szCs w:val="24"/>
              </w:rPr>
              <w:t>%</w:t>
            </w:r>
            <w:r w:rsidRPr="00055F89">
              <w:rPr>
                <w:rFonts w:ascii="Century Gothic" w:eastAsia="Times New Roman" w:hAnsi="Century Gothic" w:cs="Arial"/>
                <w:sz w:val="24"/>
                <w:szCs w:val="24"/>
              </w:rPr>
              <w:t xml:space="preserve"> </w:t>
            </w:r>
          </w:p>
          <w:p w14:paraId="6BF45F18" w14:textId="77777777" w:rsidR="0098764F" w:rsidRPr="0098764F" w:rsidRDefault="0098764F" w:rsidP="0098764F">
            <w:pPr>
              <w:spacing w:after="0" w:line="240" w:lineRule="auto"/>
              <w:jc w:val="both"/>
              <w:rPr>
                <w:rFonts w:ascii="Century Gothic" w:eastAsia="Times New Roman" w:hAnsi="Century Gothic" w:cs="Arial"/>
                <w:sz w:val="24"/>
                <w:szCs w:val="24"/>
              </w:rPr>
            </w:pPr>
          </w:p>
        </w:tc>
      </w:tr>
      <w:tr w:rsidR="0098764F" w:rsidRPr="0098764F" w14:paraId="36C3D312" w14:textId="77777777" w:rsidTr="0098764F">
        <w:tc>
          <w:tcPr>
            <w:tcW w:w="2628" w:type="dxa"/>
          </w:tcPr>
          <w:p w14:paraId="70B86D4B" w14:textId="1AE5B623" w:rsidR="0098764F" w:rsidRPr="0098764F" w:rsidRDefault="000A2A57" w:rsidP="0098764F">
            <w:pPr>
              <w:spacing w:after="0" w:line="240" w:lineRule="auto"/>
              <w:rPr>
                <w:rFonts w:ascii="Century Gothic" w:eastAsia="Times New Roman" w:hAnsi="Century Gothic" w:cs="Arial"/>
                <w:b/>
                <w:sz w:val="24"/>
                <w:szCs w:val="24"/>
              </w:rPr>
            </w:pPr>
            <w:r w:rsidRPr="0098764F">
              <w:rPr>
                <w:rFonts w:ascii="Century Gothic" w:eastAsia="Times New Roman" w:hAnsi="Century Gothic" w:cs="Arial"/>
                <w:b/>
                <w:sz w:val="24"/>
                <w:szCs w:val="24"/>
              </w:rPr>
              <w:t>probation</w:t>
            </w:r>
          </w:p>
          <w:p w14:paraId="6E45D89E" w14:textId="77777777" w:rsidR="0098764F" w:rsidRPr="0098764F" w:rsidRDefault="0098764F" w:rsidP="0098764F">
            <w:pPr>
              <w:spacing w:after="0" w:line="240" w:lineRule="auto"/>
              <w:rPr>
                <w:rFonts w:ascii="Century Gothic" w:eastAsia="Times New Roman" w:hAnsi="Century Gothic" w:cs="Arial"/>
                <w:b/>
                <w:sz w:val="24"/>
                <w:szCs w:val="24"/>
              </w:rPr>
            </w:pPr>
          </w:p>
        </w:tc>
        <w:tc>
          <w:tcPr>
            <w:tcW w:w="6228" w:type="dxa"/>
            <w:hideMark/>
          </w:tcPr>
          <w:p w14:paraId="089427B4" w14:textId="087DE5EA" w:rsidR="0098764F" w:rsidRPr="0098764F" w:rsidRDefault="000A2A57" w:rsidP="0098764F">
            <w:pPr>
              <w:spacing w:after="0" w:line="240" w:lineRule="auto"/>
              <w:jc w:val="both"/>
              <w:rPr>
                <w:rFonts w:ascii="Century Gothic" w:eastAsia="Times New Roman" w:hAnsi="Century Gothic" w:cs="Arial"/>
                <w:sz w:val="24"/>
                <w:szCs w:val="24"/>
              </w:rPr>
            </w:pPr>
            <w:r w:rsidRPr="000A2A57">
              <w:rPr>
                <w:rFonts w:ascii="Century Gothic" w:eastAsia="Times New Roman" w:hAnsi="Century Gothic" w:cs="Arial"/>
                <w:sz w:val="24"/>
                <w:szCs w:val="24"/>
              </w:rPr>
              <w:t>Six-month</w:t>
            </w:r>
            <w:r w:rsidR="0098764F" w:rsidRPr="0098764F">
              <w:rPr>
                <w:rFonts w:ascii="Century Gothic" w:eastAsia="Times New Roman" w:hAnsi="Century Gothic" w:cs="Arial"/>
                <w:sz w:val="24"/>
                <w:szCs w:val="24"/>
              </w:rPr>
              <w:t xml:space="preserve"> probationary period. </w:t>
            </w:r>
          </w:p>
        </w:tc>
      </w:tr>
      <w:tr w:rsidR="0098764F" w:rsidRPr="0098764F" w14:paraId="60851B84" w14:textId="77777777" w:rsidTr="0098764F">
        <w:tc>
          <w:tcPr>
            <w:tcW w:w="2628" w:type="dxa"/>
          </w:tcPr>
          <w:p w14:paraId="1185399A" w14:textId="77777777" w:rsidR="0098764F" w:rsidRPr="0098764F" w:rsidRDefault="0098764F" w:rsidP="0098764F">
            <w:pPr>
              <w:spacing w:after="0" w:line="240" w:lineRule="auto"/>
              <w:rPr>
                <w:rFonts w:ascii="Century Gothic" w:eastAsia="Times New Roman" w:hAnsi="Century Gothic" w:cs="Arial"/>
                <w:b/>
                <w:sz w:val="24"/>
                <w:szCs w:val="24"/>
              </w:rPr>
            </w:pPr>
            <w:r w:rsidRPr="0098764F">
              <w:rPr>
                <w:rFonts w:ascii="Century Gothic" w:eastAsia="Times New Roman" w:hAnsi="Century Gothic" w:cs="Arial"/>
                <w:b/>
                <w:sz w:val="24"/>
                <w:szCs w:val="24"/>
              </w:rPr>
              <w:t xml:space="preserve">Pay Method </w:t>
            </w:r>
          </w:p>
          <w:p w14:paraId="3EFF772D" w14:textId="77777777" w:rsidR="0098764F" w:rsidRPr="0098764F" w:rsidRDefault="0098764F" w:rsidP="0098764F">
            <w:pPr>
              <w:spacing w:after="0" w:line="240" w:lineRule="auto"/>
              <w:rPr>
                <w:rFonts w:ascii="Century Gothic" w:eastAsia="Times New Roman" w:hAnsi="Century Gothic" w:cs="Arial"/>
                <w:b/>
                <w:sz w:val="24"/>
                <w:szCs w:val="24"/>
              </w:rPr>
            </w:pPr>
          </w:p>
        </w:tc>
        <w:tc>
          <w:tcPr>
            <w:tcW w:w="6228" w:type="dxa"/>
          </w:tcPr>
          <w:p w14:paraId="349C0553" w14:textId="610A74F6" w:rsidR="0098764F" w:rsidRPr="0098764F" w:rsidRDefault="0098764F" w:rsidP="007015AE">
            <w:pPr>
              <w:spacing w:after="0" w:line="240" w:lineRule="auto"/>
              <w:jc w:val="both"/>
              <w:rPr>
                <w:rFonts w:ascii="Century Gothic" w:eastAsia="Times New Roman" w:hAnsi="Century Gothic" w:cs="Arial"/>
                <w:sz w:val="24"/>
                <w:szCs w:val="24"/>
              </w:rPr>
            </w:pPr>
            <w:r w:rsidRPr="0098764F">
              <w:rPr>
                <w:rFonts w:ascii="Century Gothic" w:eastAsia="Times New Roman" w:hAnsi="Century Gothic" w:cs="Arial"/>
                <w:sz w:val="24"/>
                <w:szCs w:val="24"/>
              </w:rPr>
              <w:t xml:space="preserve">Salary is paid on the </w:t>
            </w:r>
            <w:r w:rsidR="000A2A57">
              <w:rPr>
                <w:rFonts w:ascii="Century Gothic" w:eastAsia="Times New Roman" w:hAnsi="Century Gothic" w:cs="Arial"/>
                <w:sz w:val="24"/>
                <w:szCs w:val="24"/>
              </w:rPr>
              <w:t>15</w:t>
            </w:r>
            <w:r w:rsidR="000A2A57" w:rsidRPr="000A2A57">
              <w:rPr>
                <w:rFonts w:ascii="Century Gothic" w:eastAsia="Times New Roman" w:hAnsi="Century Gothic" w:cs="Arial"/>
                <w:sz w:val="24"/>
                <w:szCs w:val="24"/>
                <w:vertAlign w:val="superscript"/>
              </w:rPr>
              <w:t>th</w:t>
            </w:r>
            <w:r w:rsidR="000A2A57">
              <w:rPr>
                <w:rFonts w:ascii="Century Gothic" w:eastAsia="Times New Roman" w:hAnsi="Century Gothic" w:cs="Arial"/>
                <w:sz w:val="24"/>
                <w:szCs w:val="24"/>
              </w:rPr>
              <w:t xml:space="preserve"> of the month</w:t>
            </w:r>
            <w:r w:rsidRPr="0098764F">
              <w:rPr>
                <w:rFonts w:ascii="Century Gothic" w:eastAsia="Times New Roman" w:hAnsi="Century Gothic" w:cs="Arial"/>
                <w:sz w:val="24"/>
                <w:szCs w:val="24"/>
              </w:rPr>
              <w:t>, directly by credit transfer to a bank or building society.</w:t>
            </w:r>
          </w:p>
        </w:tc>
      </w:tr>
      <w:tr w:rsidR="0098764F" w:rsidRPr="0098764F" w14:paraId="744D63FA" w14:textId="77777777" w:rsidTr="0098764F">
        <w:tc>
          <w:tcPr>
            <w:tcW w:w="2628" w:type="dxa"/>
          </w:tcPr>
          <w:p w14:paraId="6D7D730A" w14:textId="77777777" w:rsidR="0098764F" w:rsidRPr="0098764F" w:rsidRDefault="0098764F" w:rsidP="0098764F">
            <w:pPr>
              <w:spacing w:after="0" w:line="240" w:lineRule="auto"/>
              <w:rPr>
                <w:rFonts w:ascii="Century Gothic" w:eastAsia="Times New Roman" w:hAnsi="Century Gothic" w:cs="Arial"/>
                <w:b/>
                <w:sz w:val="24"/>
                <w:szCs w:val="24"/>
              </w:rPr>
            </w:pPr>
          </w:p>
        </w:tc>
        <w:tc>
          <w:tcPr>
            <w:tcW w:w="6228" w:type="dxa"/>
          </w:tcPr>
          <w:p w14:paraId="00B3298B" w14:textId="77777777" w:rsidR="0098764F" w:rsidRPr="0098764F" w:rsidRDefault="0098764F" w:rsidP="0098764F">
            <w:pPr>
              <w:spacing w:after="0" w:line="240" w:lineRule="auto"/>
              <w:jc w:val="both"/>
              <w:rPr>
                <w:rFonts w:ascii="Century Gothic" w:eastAsia="Times New Roman" w:hAnsi="Century Gothic" w:cs="Arial"/>
                <w:sz w:val="24"/>
                <w:szCs w:val="24"/>
              </w:rPr>
            </w:pPr>
          </w:p>
        </w:tc>
      </w:tr>
      <w:tr w:rsidR="0098764F" w:rsidRPr="0098764F" w14:paraId="0C02F838" w14:textId="77777777" w:rsidTr="0098764F">
        <w:tc>
          <w:tcPr>
            <w:tcW w:w="2628" w:type="dxa"/>
          </w:tcPr>
          <w:p w14:paraId="58016DA6" w14:textId="77777777" w:rsidR="0098764F" w:rsidRPr="0098764F" w:rsidRDefault="0098764F" w:rsidP="0098764F">
            <w:pPr>
              <w:keepNext/>
              <w:spacing w:after="0" w:line="240" w:lineRule="auto"/>
              <w:outlineLvl w:val="5"/>
              <w:rPr>
                <w:rFonts w:ascii="Century Gothic" w:eastAsia="Times New Roman" w:hAnsi="Century Gothic" w:cs="Arial"/>
                <w:b/>
                <w:sz w:val="24"/>
                <w:szCs w:val="24"/>
              </w:rPr>
            </w:pPr>
          </w:p>
        </w:tc>
        <w:tc>
          <w:tcPr>
            <w:tcW w:w="6228" w:type="dxa"/>
          </w:tcPr>
          <w:p w14:paraId="49D85A09" w14:textId="77777777" w:rsidR="0098764F" w:rsidRPr="0098764F" w:rsidRDefault="0098764F" w:rsidP="0098764F">
            <w:pPr>
              <w:spacing w:after="0" w:line="240" w:lineRule="auto"/>
              <w:jc w:val="both"/>
              <w:rPr>
                <w:rFonts w:ascii="Century Gothic" w:eastAsia="Times New Roman" w:hAnsi="Century Gothic" w:cs="Arial"/>
                <w:sz w:val="24"/>
                <w:szCs w:val="24"/>
              </w:rPr>
            </w:pPr>
          </w:p>
        </w:tc>
      </w:tr>
      <w:tr w:rsidR="0098764F" w:rsidRPr="0098764F" w14:paraId="445178DA" w14:textId="77777777" w:rsidTr="0098764F">
        <w:tc>
          <w:tcPr>
            <w:tcW w:w="2628" w:type="dxa"/>
          </w:tcPr>
          <w:p w14:paraId="68F933DD" w14:textId="77777777" w:rsidR="0098764F" w:rsidRPr="0098764F" w:rsidRDefault="0098764F" w:rsidP="0098764F">
            <w:pPr>
              <w:spacing w:after="0" w:line="240" w:lineRule="auto"/>
              <w:rPr>
                <w:rFonts w:ascii="Century Gothic" w:eastAsia="Times New Roman" w:hAnsi="Century Gothic" w:cs="Arial"/>
                <w:b/>
                <w:sz w:val="24"/>
                <w:szCs w:val="24"/>
              </w:rPr>
            </w:pPr>
          </w:p>
        </w:tc>
        <w:tc>
          <w:tcPr>
            <w:tcW w:w="6228" w:type="dxa"/>
          </w:tcPr>
          <w:p w14:paraId="3B4795FA" w14:textId="77777777" w:rsidR="0098764F" w:rsidRPr="0098764F" w:rsidRDefault="0098764F" w:rsidP="0098764F">
            <w:pPr>
              <w:spacing w:after="0" w:line="240" w:lineRule="auto"/>
              <w:jc w:val="both"/>
              <w:rPr>
                <w:rFonts w:ascii="Century Gothic" w:eastAsia="Times New Roman" w:hAnsi="Century Gothic" w:cs="Arial"/>
                <w:sz w:val="24"/>
                <w:szCs w:val="24"/>
              </w:rPr>
            </w:pPr>
          </w:p>
        </w:tc>
      </w:tr>
      <w:tr w:rsidR="0098764F" w:rsidRPr="0098764F" w14:paraId="23798F5E" w14:textId="77777777" w:rsidTr="0098764F">
        <w:tc>
          <w:tcPr>
            <w:tcW w:w="2628" w:type="dxa"/>
          </w:tcPr>
          <w:p w14:paraId="049625A8" w14:textId="77777777" w:rsidR="0098764F" w:rsidRPr="0098764F" w:rsidRDefault="0098764F" w:rsidP="0098764F">
            <w:pPr>
              <w:spacing w:after="0" w:line="240" w:lineRule="auto"/>
              <w:rPr>
                <w:rFonts w:ascii="Century Gothic" w:eastAsia="Times New Roman" w:hAnsi="Century Gothic" w:cs="Arial"/>
                <w:b/>
                <w:sz w:val="24"/>
                <w:szCs w:val="24"/>
              </w:rPr>
            </w:pPr>
          </w:p>
        </w:tc>
        <w:tc>
          <w:tcPr>
            <w:tcW w:w="6228" w:type="dxa"/>
          </w:tcPr>
          <w:p w14:paraId="0F2F4512" w14:textId="77777777" w:rsidR="0098764F" w:rsidRPr="0098764F" w:rsidRDefault="0098764F" w:rsidP="0098764F">
            <w:pPr>
              <w:spacing w:after="0" w:line="240" w:lineRule="auto"/>
              <w:jc w:val="both"/>
              <w:rPr>
                <w:rFonts w:ascii="Century Gothic" w:eastAsia="Times New Roman" w:hAnsi="Century Gothic" w:cs="Arial"/>
                <w:sz w:val="24"/>
                <w:szCs w:val="24"/>
              </w:rPr>
            </w:pPr>
          </w:p>
        </w:tc>
      </w:tr>
      <w:tr w:rsidR="0098764F" w:rsidRPr="0098764F" w14:paraId="64B58093" w14:textId="77777777" w:rsidTr="0098764F">
        <w:tc>
          <w:tcPr>
            <w:tcW w:w="2628" w:type="dxa"/>
          </w:tcPr>
          <w:p w14:paraId="097DDC19" w14:textId="77777777" w:rsidR="0098764F" w:rsidRPr="0098764F" w:rsidRDefault="0098764F" w:rsidP="0098764F">
            <w:pPr>
              <w:spacing w:after="0" w:line="240" w:lineRule="auto"/>
              <w:rPr>
                <w:rFonts w:ascii="Century Gothic" w:eastAsia="Times New Roman" w:hAnsi="Century Gothic" w:cs="Arial"/>
                <w:b/>
                <w:sz w:val="24"/>
                <w:szCs w:val="24"/>
              </w:rPr>
            </w:pPr>
          </w:p>
        </w:tc>
        <w:tc>
          <w:tcPr>
            <w:tcW w:w="6228" w:type="dxa"/>
          </w:tcPr>
          <w:p w14:paraId="3C71617B" w14:textId="77777777" w:rsidR="0098764F" w:rsidRPr="0098764F" w:rsidRDefault="0098764F" w:rsidP="0098764F">
            <w:pPr>
              <w:spacing w:after="0" w:line="240" w:lineRule="auto"/>
              <w:jc w:val="both"/>
              <w:rPr>
                <w:rFonts w:ascii="Century Gothic" w:eastAsia="Times New Roman" w:hAnsi="Century Gothic" w:cs="Arial"/>
                <w:color w:val="0000FF"/>
                <w:sz w:val="24"/>
                <w:szCs w:val="24"/>
              </w:rPr>
            </w:pPr>
          </w:p>
        </w:tc>
      </w:tr>
      <w:tr w:rsidR="0098764F" w:rsidRPr="0098764F" w14:paraId="042DBA3D" w14:textId="77777777" w:rsidTr="0098764F">
        <w:tc>
          <w:tcPr>
            <w:tcW w:w="2628" w:type="dxa"/>
          </w:tcPr>
          <w:p w14:paraId="22127FE4" w14:textId="77777777" w:rsidR="0098764F" w:rsidRPr="0098764F" w:rsidRDefault="0098764F" w:rsidP="0098764F">
            <w:pPr>
              <w:keepNext/>
              <w:spacing w:after="0" w:line="240" w:lineRule="auto"/>
              <w:outlineLvl w:val="5"/>
              <w:rPr>
                <w:rFonts w:ascii="Century Gothic" w:eastAsia="Times New Roman" w:hAnsi="Century Gothic" w:cs="Arial"/>
                <w:b/>
                <w:sz w:val="24"/>
                <w:szCs w:val="24"/>
              </w:rPr>
            </w:pPr>
            <w:r w:rsidRPr="0098764F">
              <w:rPr>
                <w:rFonts w:ascii="Century Gothic" w:eastAsia="Times New Roman" w:hAnsi="Century Gothic" w:cs="Arial"/>
                <w:b/>
                <w:sz w:val="24"/>
                <w:szCs w:val="24"/>
              </w:rPr>
              <w:t>Salary Review</w:t>
            </w:r>
          </w:p>
          <w:p w14:paraId="3AC1044D" w14:textId="77777777" w:rsidR="0098764F" w:rsidRPr="0098764F" w:rsidRDefault="0098764F" w:rsidP="0098764F">
            <w:pPr>
              <w:keepNext/>
              <w:spacing w:after="0" w:line="240" w:lineRule="auto"/>
              <w:outlineLvl w:val="5"/>
              <w:rPr>
                <w:rFonts w:ascii="Century Gothic" w:eastAsia="Times New Roman" w:hAnsi="Century Gothic" w:cs="Arial"/>
                <w:b/>
                <w:sz w:val="24"/>
                <w:szCs w:val="24"/>
              </w:rPr>
            </w:pPr>
          </w:p>
        </w:tc>
        <w:tc>
          <w:tcPr>
            <w:tcW w:w="6228" w:type="dxa"/>
          </w:tcPr>
          <w:p w14:paraId="19CED9D6" w14:textId="77777777" w:rsidR="0098764F" w:rsidRPr="0098764F" w:rsidRDefault="0098764F" w:rsidP="0098764F">
            <w:pPr>
              <w:spacing w:after="0" w:line="240" w:lineRule="auto"/>
              <w:jc w:val="both"/>
              <w:rPr>
                <w:rFonts w:ascii="Century Gothic" w:eastAsia="Times New Roman" w:hAnsi="Century Gothic" w:cs="Arial"/>
                <w:sz w:val="24"/>
                <w:szCs w:val="24"/>
              </w:rPr>
            </w:pPr>
            <w:r w:rsidRPr="0098764F">
              <w:rPr>
                <w:rFonts w:ascii="Century Gothic" w:eastAsia="Times New Roman" w:hAnsi="Century Gothic" w:cs="Arial"/>
                <w:sz w:val="24"/>
                <w:szCs w:val="24"/>
              </w:rPr>
              <w:t>The salary is subject to any revisions agreed nationally between NALC and SLCC as a result of pay negotiations which are usually effective from 1 April.</w:t>
            </w:r>
          </w:p>
          <w:p w14:paraId="2F87B4BE" w14:textId="77777777" w:rsidR="0098764F" w:rsidRPr="0098764F" w:rsidRDefault="0098764F" w:rsidP="0098764F">
            <w:pPr>
              <w:spacing w:after="0" w:line="240" w:lineRule="auto"/>
              <w:jc w:val="both"/>
              <w:rPr>
                <w:rFonts w:ascii="Century Gothic" w:eastAsia="Times New Roman" w:hAnsi="Century Gothic" w:cs="Arial"/>
                <w:sz w:val="24"/>
                <w:szCs w:val="24"/>
              </w:rPr>
            </w:pPr>
          </w:p>
        </w:tc>
      </w:tr>
      <w:tr w:rsidR="0098764F" w:rsidRPr="0098764F" w14:paraId="6F2B2E43" w14:textId="77777777" w:rsidTr="0098764F">
        <w:tc>
          <w:tcPr>
            <w:tcW w:w="2628" w:type="dxa"/>
          </w:tcPr>
          <w:p w14:paraId="694E6823" w14:textId="77777777" w:rsidR="0098764F" w:rsidRPr="0098764F" w:rsidRDefault="0098764F" w:rsidP="0098764F">
            <w:pPr>
              <w:spacing w:after="0" w:line="240" w:lineRule="auto"/>
              <w:rPr>
                <w:rFonts w:ascii="Century Gothic" w:eastAsia="Times New Roman" w:hAnsi="Century Gothic" w:cs="Arial"/>
                <w:b/>
                <w:sz w:val="24"/>
                <w:szCs w:val="24"/>
              </w:rPr>
            </w:pPr>
            <w:r w:rsidRPr="0098764F">
              <w:rPr>
                <w:rFonts w:ascii="Century Gothic" w:eastAsia="Times New Roman" w:hAnsi="Century Gothic" w:cs="Arial"/>
                <w:b/>
                <w:sz w:val="24"/>
                <w:szCs w:val="24"/>
              </w:rPr>
              <w:t>Work Location</w:t>
            </w:r>
          </w:p>
          <w:p w14:paraId="7FFDE678" w14:textId="77777777" w:rsidR="0098764F" w:rsidRPr="0098764F" w:rsidRDefault="0098764F" w:rsidP="0098764F">
            <w:pPr>
              <w:spacing w:after="0" w:line="240" w:lineRule="auto"/>
              <w:rPr>
                <w:rFonts w:ascii="Century Gothic" w:eastAsia="Times New Roman" w:hAnsi="Century Gothic" w:cs="Arial"/>
                <w:b/>
                <w:sz w:val="24"/>
                <w:szCs w:val="24"/>
              </w:rPr>
            </w:pPr>
          </w:p>
        </w:tc>
        <w:tc>
          <w:tcPr>
            <w:tcW w:w="6228" w:type="dxa"/>
          </w:tcPr>
          <w:p w14:paraId="4A7F8F0A" w14:textId="5D072DC1" w:rsidR="0098764F" w:rsidRPr="0098764F" w:rsidRDefault="0098764F" w:rsidP="0098764F">
            <w:pPr>
              <w:spacing w:after="0" w:line="240" w:lineRule="auto"/>
              <w:jc w:val="both"/>
              <w:rPr>
                <w:rFonts w:ascii="Century Gothic" w:eastAsia="Times New Roman" w:hAnsi="Century Gothic" w:cs="Arial"/>
                <w:sz w:val="24"/>
                <w:szCs w:val="24"/>
              </w:rPr>
            </w:pPr>
            <w:r>
              <w:rPr>
                <w:rFonts w:ascii="Century Gothic" w:eastAsia="Times New Roman" w:hAnsi="Century Gothic" w:cs="Arial"/>
                <w:b/>
                <w:sz w:val="24"/>
                <w:szCs w:val="24"/>
              </w:rPr>
              <w:t>Macclesfield Town Hall</w:t>
            </w:r>
            <w:r w:rsidRPr="0098764F">
              <w:rPr>
                <w:rFonts w:ascii="Century Gothic" w:eastAsia="Times New Roman" w:hAnsi="Century Gothic" w:cs="Arial"/>
                <w:b/>
                <w:sz w:val="24"/>
                <w:szCs w:val="24"/>
              </w:rPr>
              <w:t xml:space="preserve"> </w:t>
            </w:r>
            <w:r w:rsidRPr="0098764F">
              <w:rPr>
                <w:rFonts w:ascii="Century Gothic" w:eastAsia="Times New Roman" w:hAnsi="Century Gothic" w:cs="Arial"/>
                <w:sz w:val="24"/>
                <w:szCs w:val="24"/>
              </w:rPr>
              <w:t>but attendance at other locations is required when necessary.</w:t>
            </w:r>
          </w:p>
          <w:p w14:paraId="1A9F5FCE" w14:textId="77777777" w:rsidR="0098764F" w:rsidRPr="0098764F" w:rsidRDefault="0098764F" w:rsidP="0098764F">
            <w:pPr>
              <w:spacing w:after="0" w:line="240" w:lineRule="auto"/>
              <w:jc w:val="both"/>
              <w:rPr>
                <w:rFonts w:ascii="Century Gothic" w:eastAsia="Times New Roman" w:hAnsi="Century Gothic" w:cs="Arial"/>
                <w:sz w:val="24"/>
                <w:szCs w:val="24"/>
              </w:rPr>
            </w:pPr>
          </w:p>
        </w:tc>
      </w:tr>
      <w:tr w:rsidR="0098764F" w:rsidRPr="0098764F" w14:paraId="7B87E7DC" w14:textId="77777777" w:rsidTr="0098764F">
        <w:tc>
          <w:tcPr>
            <w:tcW w:w="2628" w:type="dxa"/>
            <w:hideMark/>
          </w:tcPr>
          <w:p w14:paraId="669AA4AB" w14:textId="77777777" w:rsidR="0098764F" w:rsidRPr="0098764F" w:rsidRDefault="0098764F" w:rsidP="0098764F">
            <w:pPr>
              <w:spacing w:after="0" w:line="240" w:lineRule="auto"/>
              <w:rPr>
                <w:rFonts w:ascii="Century Gothic" w:eastAsia="Times New Roman" w:hAnsi="Century Gothic" w:cs="Arial"/>
                <w:b/>
                <w:sz w:val="24"/>
                <w:szCs w:val="24"/>
              </w:rPr>
            </w:pPr>
            <w:r w:rsidRPr="0098764F">
              <w:rPr>
                <w:rFonts w:ascii="Century Gothic" w:eastAsia="Times New Roman" w:hAnsi="Century Gothic" w:cs="Arial"/>
                <w:b/>
                <w:sz w:val="24"/>
                <w:szCs w:val="24"/>
              </w:rPr>
              <w:t>Expenses</w:t>
            </w:r>
          </w:p>
        </w:tc>
        <w:tc>
          <w:tcPr>
            <w:tcW w:w="6228" w:type="dxa"/>
          </w:tcPr>
          <w:p w14:paraId="55AC165A" w14:textId="77777777" w:rsidR="0098764F" w:rsidRPr="00D628D5" w:rsidRDefault="0098764F" w:rsidP="0098764F">
            <w:pPr>
              <w:spacing w:after="0" w:line="240" w:lineRule="auto"/>
              <w:jc w:val="both"/>
              <w:rPr>
                <w:rFonts w:ascii="Century Gothic" w:eastAsia="Times New Roman" w:hAnsi="Century Gothic" w:cs="Arial"/>
                <w:sz w:val="24"/>
                <w:szCs w:val="24"/>
              </w:rPr>
            </w:pPr>
            <w:r w:rsidRPr="00D628D5">
              <w:rPr>
                <w:rFonts w:ascii="Century Gothic" w:eastAsia="Times New Roman" w:hAnsi="Century Gothic" w:cs="Arial"/>
                <w:sz w:val="24"/>
                <w:szCs w:val="24"/>
              </w:rPr>
              <w:t>Reasonable subsistence for conference attendance in accordance with the Council’s policy.</w:t>
            </w:r>
          </w:p>
          <w:p w14:paraId="45E2598E" w14:textId="77777777" w:rsidR="0098764F" w:rsidRPr="00D628D5" w:rsidRDefault="0098764F" w:rsidP="0098764F">
            <w:pPr>
              <w:spacing w:after="0" w:line="240" w:lineRule="auto"/>
              <w:jc w:val="both"/>
              <w:rPr>
                <w:rFonts w:ascii="Century Gothic" w:eastAsia="Times New Roman" w:hAnsi="Century Gothic" w:cs="Arial"/>
                <w:sz w:val="24"/>
                <w:szCs w:val="24"/>
              </w:rPr>
            </w:pPr>
          </w:p>
          <w:p w14:paraId="179274C8" w14:textId="77777777" w:rsidR="0098764F" w:rsidRPr="00D628D5" w:rsidRDefault="0098764F" w:rsidP="0098764F">
            <w:pPr>
              <w:spacing w:after="0" w:line="240" w:lineRule="auto"/>
              <w:jc w:val="both"/>
              <w:rPr>
                <w:rFonts w:ascii="Century Gothic" w:eastAsia="Times New Roman" w:hAnsi="Century Gothic" w:cs="Arial"/>
                <w:sz w:val="24"/>
                <w:szCs w:val="24"/>
              </w:rPr>
            </w:pPr>
            <w:r w:rsidRPr="00D628D5">
              <w:rPr>
                <w:rFonts w:ascii="Century Gothic" w:eastAsia="Times New Roman" w:hAnsi="Century Gothic" w:cs="Arial"/>
                <w:sz w:val="24"/>
                <w:szCs w:val="24"/>
              </w:rPr>
              <w:t>Car mileage allowance payable in accordance with the casual user provisions in the Council’s policy.</w:t>
            </w:r>
          </w:p>
          <w:p w14:paraId="6896C81D" w14:textId="77777777" w:rsidR="0098764F" w:rsidRPr="0098764F" w:rsidRDefault="0098764F" w:rsidP="0098764F">
            <w:pPr>
              <w:spacing w:after="0" w:line="240" w:lineRule="auto"/>
              <w:jc w:val="both"/>
              <w:rPr>
                <w:rFonts w:ascii="Century Gothic" w:eastAsia="Times New Roman" w:hAnsi="Century Gothic" w:cs="Arial"/>
                <w:sz w:val="24"/>
                <w:szCs w:val="24"/>
              </w:rPr>
            </w:pPr>
          </w:p>
        </w:tc>
      </w:tr>
      <w:tr w:rsidR="0098764F" w:rsidRPr="0098764F" w14:paraId="56E373A8" w14:textId="77777777" w:rsidTr="0098764F">
        <w:tc>
          <w:tcPr>
            <w:tcW w:w="2628" w:type="dxa"/>
          </w:tcPr>
          <w:p w14:paraId="27D6CF45" w14:textId="77777777" w:rsidR="0098764F" w:rsidRPr="0098764F" w:rsidRDefault="0098764F" w:rsidP="0098764F">
            <w:pPr>
              <w:keepNext/>
              <w:spacing w:after="0" w:line="240" w:lineRule="auto"/>
              <w:outlineLvl w:val="5"/>
              <w:rPr>
                <w:rFonts w:ascii="Century Gothic" w:eastAsia="Times New Roman" w:hAnsi="Century Gothic" w:cs="Arial"/>
                <w:b/>
                <w:sz w:val="24"/>
                <w:szCs w:val="24"/>
              </w:rPr>
            </w:pPr>
            <w:r w:rsidRPr="0098764F">
              <w:rPr>
                <w:rFonts w:ascii="Century Gothic" w:eastAsia="Times New Roman" w:hAnsi="Century Gothic" w:cs="Arial"/>
                <w:b/>
                <w:sz w:val="24"/>
                <w:szCs w:val="24"/>
              </w:rPr>
              <w:t>Other Terms</w:t>
            </w:r>
          </w:p>
          <w:p w14:paraId="76DA56B7" w14:textId="77777777" w:rsidR="0098764F" w:rsidRPr="0098764F" w:rsidRDefault="0098764F" w:rsidP="0098764F">
            <w:pPr>
              <w:spacing w:after="0" w:line="240" w:lineRule="auto"/>
              <w:rPr>
                <w:rFonts w:ascii="Century Gothic" w:eastAsia="Times New Roman" w:hAnsi="Century Gothic" w:cs="Arial"/>
                <w:b/>
                <w:sz w:val="24"/>
                <w:szCs w:val="24"/>
              </w:rPr>
            </w:pPr>
          </w:p>
        </w:tc>
        <w:tc>
          <w:tcPr>
            <w:tcW w:w="6228" w:type="dxa"/>
          </w:tcPr>
          <w:p w14:paraId="313DA3B7" w14:textId="77777777" w:rsidR="0098764F" w:rsidRPr="0098764F" w:rsidRDefault="0098764F" w:rsidP="0098764F">
            <w:pPr>
              <w:spacing w:after="0" w:line="240" w:lineRule="auto"/>
              <w:jc w:val="both"/>
              <w:rPr>
                <w:rFonts w:ascii="Century Gothic" w:eastAsia="Times New Roman" w:hAnsi="Century Gothic" w:cs="Arial"/>
                <w:sz w:val="24"/>
                <w:szCs w:val="24"/>
              </w:rPr>
            </w:pPr>
            <w:r w:rsidRPr="0098764F">
              <w:rPr>
                <w:rFonts w:ascii="Century Gothic" w:eastAsia="Times New Roman" w:hAnsi="Century Gothic" w:cs="Arial"/>
                <w:sz w:val="24"/>
                <w:szCs w:val="24"/>
              </w:rPr>
              <w:t>All staff are required to operate within the Council’s code of practice on confidentiality.</w:t>
            </w:r>
          </w:p>
          <w:p w14:paraId="24BE796D" w14:textId="77777777" w:rsidR="0098764F" w:rsidRPr="0098764F" w:rsidRDefault="0098764F" w:rsidP="0098764F">
            <w:pPr>
              <w:spacing w:after="0" w:line="240" w:lineRule="auto"/>
              <w:jc w:val="both"/>
              <w:rPr>
                <w:rFonts w:ascii="Century Gothic" w:eastAsia="Times New Roman" w:hAnsi="Century Gothic" w:cs="Arial"/>
                <w:sz w:val="24"/>
                <w:szCs w:val="24"/>
              </w:rPr>
            </w:pPr>
          </w:p>
          <w:p w14:paraId="3A450B30" w14:textId="77777777" w:rsidR="0098764F" w:rsidRPr="0098764F" w:rsidRDefault="0098764F" w:rsidP="0098764F">
            <w:pPr>
              <w:spacing w:after="0" w:line="240" w:lineRule="auto"/>
              <w:jc w:val="both"/>
              <w:rPr>
                <w:rFonts w:ascii="Century Gothic" w:eastAsia="Times New Roman" w:hAnsi="Century Gothic" w:cs="Arial"/>
                <w:sz w:val="24"/>
                <w:szCs w:val="24"/>
              </w:rPr>
            </w:pPr>
            <w:r w:rsidRPr="0098764F">
              <w:rPr>
                <w:rFonts w:ascii="Century Gothic" w:eastAsia="Times New Roman" w:hAnsi="Century Gothic" w:cs="Arial"/>
                <w:sz w:val="24"/>
                <w:szCs w:val="24"/>
              </w:rPr>
              <w:t xml:space="preserve">A no smoking policy is in operation in the Council’s buildings and vehicles. </w:t>
            </w:r>
          </w:p>
          <w:p w14:paraId="05CAF9F2" w14:textId="77777777" w:rsidR="0098764F" w:rsidRPr="0098764F" w:rsidRDefault="0098764F" w:rsidP="0098764F">
            <w:pPr>
              <w:spacing w:after="0" w:line="240" w:lineRule="auto"/>
              <w:jc w:val="both"/>
              <w:rPr>
                <w:rFonts w:ascii="Century Gothic" w:eastAsia="Times New Roman" w:hAnsi="Century Gothic" w:cs="Arial"/>
                <w:sz w:val="24"/>
                <w:szCs w:val="24"/>
              </w:rPr>
            </w:pPr>
          </w:p>
        </w:tc>
      </w:tr>
      <w:tr w:rsidR="0098764F" w:rsidRPr="0098764F" w14:paraId="321362E0" w14:textId="77777777" w:rsidTr="0098764F">
        <w:tc>
          <w:tcPr>
            <w:tcW w:w="2628" w:type="dxa"/>
          </w:tcPr>
          <w:p w14:paraId="6ED8DD74" w14:textId="77777777" w:rsidR="0098764F" w:rsidRPr="0098764F" w:rsidRDefault="0098764F" w:rsidP="0098764F">
            <w:pPr>
              <w:spacing w:after="0" w:line="240" w:lineRule="auto"/>
              <w:rPr>
                <w:rFonts w:ascii="Century Gothic" w:eastAsia="Times New Roman" w:hAnsi="Century Gothic" w:cs="Arial"/>
                <w:b/>
                <w:sz w:val="24"/>
                <w:szCs w:val="24"/>
              </w:rPr>
            </w:pPr>
            <w:r w:rsidRPr="0098764F">
              <w:rPr>
                <w:rFonts w:ascii="Century Gothic" w:eastAsia="Times New Roman" w:hAnsi="Century Gothic" w:cs="Arial"/>
                <w:b/>
                <w:sz w:val="24"/>
                <w:szCs w:val="24"/>
              </w:rPr>
              <w:t>Notice Period</w:t>
            </w:r>
          </w:p>
          <w:p w14:paraId="10B49AC9" w14:textId="77777777" w:rsidR="0098764F" w:rsidRPr="0098764F" w:rsidRDefault="0098764F" w:rsidP="0098764F">
            <w:pPr>
              <w:spacing w:after="0" w:line="240" w:lineRule="auto"/>
              <w:rPr>
                <w:rFonts w:ascii="Century Gothic" w:eastAsia="Times New Roman" w:hAnsi="Century Gothic" w:cs="Arial"/>
                <w:b/>
                <w:sz w:val="24"/>
                <w:szCs w:val="24"/>
              </w:rPr>
            </w:pPr>
          </w:p>
        </w:tc>
        <w:tc>
          <w:tcPr>
            <w:tcW w:w="6228" w:type="dxa"/>
            <w:hideMark/>
          </w:tcPr>
          <w:p w14:paraId="7BA2DD5E" w14:textId="0467CAB7" w:rsidR="0098764F" w:rsidRPr="0098764F" w:rsidRDefault="0098764F" w:rsidP="0098764F">
            <w:pPr>
              <w:spacing w:after="0" w:line="240" w:lineRule="auto"/>
              <w:jc w:val="both"/>
              <w:rPr>
                <w:rFonts w:ascii="Century Gothic" w:eastAsia="Times New Roman" w:hAnsi="Century Gothic" w:cs="Arial"/>
                <w:sz w:val="24"/>
                <w:szCs w:val="24"/>
              </w:rPr>
            </w:pPr>
            <w:r w:rsidRPr="0098764F">
              <w:rPr>
                <w:rFonts w:ascii="Century Gothic" w:eastAsia="Times New Roman" w:hAnsi="Century Gothic" w:cs="Arial"/>
                <w:sz w:val="24"/>
                <w:szCs w:val="24"/>
              </w:rPr>
              <w:t xml:space="preserve">After completion of the probationary period, </w:t>
            </w:r>
            <w:r w:rsidR="000A2A57">
              <w:rPr>
                <w:rFonts w:ascii="Century Gothic" w:eastAsia="Times New Roman" w:hAnsi="Century Gothic" w:cs="Arial"/>
                <w:sz w:val="24"/>
                <w:szCs w:val="24"/>
              </w:rPr>
              <w:t>three</w:t>
            </w:r>
            <w:r w:rsidRPr="0098764F">
              <w:rPr>
                <w:rFonts w:ascii="Century Gothic" w:eastAsia="Times New Roman" w:hAnsi="Century Gothic" w:cs="Arial"/>
                <w:b/>
                <w:color w:val="0000FF"/>
                <w:sz w:val="24"/>
                <w:szCs w:val="24"/>
              </w:rPr>
              <w:t xml:space="preserve"> </w:t>
            </w:r>
            <w:r w:rsidRPr="000A2A57">
              <w:rPr>
                <w:rFonts w:ascii="Century Gothic" w:eastAsia="Times New Roman" w:hAnsi="Century Gothic" w:cs="Arial"/>
                <w:bCs/>
                <w:sz w:val="24"/>
                <w:szCs w:val="24"/>
              </w:rPr>
              <w:t>months</w:t>
            </w:r>
            <w:r w:rsidRPr="0098764F">
              <w:rPr>
                <w:rFonts w:ascii="Century Gothic" w:eastAsia="Times New Roman" w:hAnsi="Century Gothic" w:cs="Arial"/>
                <w:sz w:val="24"/>
                <w:szCs w:val="24"/>
              </w:rPr>
              <w:t xml:space="preserve"> on either side in writing to terminate the employment. Unless your employment is terminated on grounds of gross misconduct when summary dismissal will apply, the minimum period of notice of termination of your employment which you are entitled to receive from the Council in writing, </w:t>
            </w:r>
            <w:r w:rsidRPr="0098764F">
              <w:rPr>
                <w:rFonts w:ascii="Century Gothic" w:eastAsia="Times New Roman" w:hAnsi="Century Gothic" w:cs="Arial"/>
                <w:snapToGrid w:val="0"/>
                <w:sz w:val="24"/>
                <w:szCs w:val="24"/>
              </w:rPr>
              <w:t xml:space="preserve">after completion of any probationary service, period </w:t>
            </w:r>
            <w:r w:rsidRPr="0098764F">
              <w:rPr>
                <w:rFonts w:ascii="Century Gothic" w:eastAsia="Times New Roman" w:hAnsi="Century Gothic" w:cs="Arial"/>
                <w:sz w:val="24"/>
                <w:szCs w:val="24"/>
              </w:rPr>
              <w:t>is three months.</w:t>
            </w:r>
          </w:p>
        </w:tc>
      </w:tr>
    </w:tbl>
    <w:p w14:paraId="2CC4EB71" w14:textId="77777777" w:rsidR="00D95B5C" w:rsidRPr="0098764F" w:rsidRDefault="00D95B5C">
      <w:pPr>
        <w:rPr>
          <w:rFonts w:ascii="Century Gothic" w:hAnsi="Century Gothic"/>
          <w:sz w:val="24"/>
          <w:szCs w:val="24"/>
        </w:rPr>
      </w:pPr>
    </w:p>
    <w:sectPr w:rsidR="00D95B5C" w:rsidRPr="009876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64F"/>
    <w:rsid w:val="00055F89"/>
    <w:rsid w:val="000A2A57"/>
    <w:rsid w:val="001359C6"/>
    <w:rsid w:val="003D31E6"/>
    <w:rsid w:val="007015AE"/>
    <w:rsid w:val="0098764F"/>
    <w:rsid w:val="00B75B6E"/>
    <w:rsid w:val="00D628D5"/>
    <w:rsid w:val="00D95B5C"/>
    <w:rsid w:val="00F83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6213BA6"/>
  <w15:chartTrackingRefBased/>
  <w15:docId w15:val="{EAFEAB47-D25C-4C8D-849B-9EB03848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77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66A6C84246D84B80A33437BEBF7A49" ma:contentTypeVersion="12" ma:contentTypeDescription="Create a new document." ma:contentTypeScope="" ma:versionID="0d9a75170ebbd1553e9e7afcabd256d6">
  <xsd:schema xmlns:xsd="http://www.w3.org/2001/XMLSchema" xmlns:xs="http://www.w3.org/2001/XMLSchema" xmlns:p="http://schemas.microsoft.com/office/2006/metadata/properties" xmlns:ns2="2497c14e-ee0a-42b5-b694-b9cd328f163d" xmlns:ns3="e8fc14bb-fad7-4191-88ca-569b38c3d916" targetNamespace="http://schemas.microsoft.com/office/2006/metadata/properties" ma:root="true" ma:fieldsID="26131660278f9528f09b750b55af26e1" ns2:_="" ns3:_="">
    <xsd:import namespace="2497c14e-ee0a-42b5-b694-b9cd328f163d"/>
    <xsd:import namespace="e8fc14bb-fad7-4191-88ca-569b38c3d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7c14e-ee0a-42b5-b694-b9cd328f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fc14bb-fad7-4191-88ca-569b38c3d9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C9FF41-F32B-4A63-9CA9-77F1C6777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7c14e-ee0a-42b5-b694-b9cd328f163d"/>
    <ds:schemaRef ds:uri="e8fc14bb-fad7-4191-88ca-569b38c3d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93196F-5D83-491B-833F-24DC1F56A3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A316B7-AE1B-48CC-A563-0DC68EBC47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Wilson</dc:creator>
  <cp:keywords/>
  <dc:description/>
  <cp:lastModifiedBy>Pete Turner</cp:lastModifiedBy>
  <cp:revision>5</cp:revision>
  <dcterms:created xsi:type="dcterms:W3CDTF">2020-04-08T14:54:00Z</dcterms:created>
  <dcterms:modified xsi:type="dcterms:W3CDTF">2020-04-09T06:19:00Z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0x010100E566A6C84246D84B80A33437BEBF7A49</vt:lpwstr>
  </property>
</Properties>
</file>